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468" w:after="312"/>
        <w:jc w:val="center"/>
        <w:rPr>
          <w:rFonts w:ascii="黑体" w:cs="黑体" w:hAnsi="黑体" w:eastAsia="黑体"/>
          <w:b w:val="1"/>
          <w:bCs w:val="1"/>
          <w:sz w:val="40"/>
          <w:szCs w:val="40"/>
        </w:rPr>
      </w:pPr>
      <w:r>
        <w:rPr>
          <w:rFonts w:ascii="黑体" w:cs="黑体" w:hAnsi="黑体" w:eastAsia="黑体"/>
          <w:b w:val="1"/>
          <w:bCs w:val="1"/>
          <w:sz w:val="40"/>
          <w:szCs w:val="40"/>
          <w:rtl w:val="0"/>
          <w:lang w:val="en-US"/>
        </w:rPr>
        <w:t>2018</w:t>
      </w:r>
      <w:r>
        <w:rPr>
          <w:rFonts w:ascii="黑体" w:cs="黑体" w:hAnsi="黑体" w:eastAsia="黑体"/>
          <w:b w:val="1"/>
          <w:bCs w:val="1"/>
          <w:sz w:val="40"/>
          <w:szCs w:val="40"/>
          <w:rtl w:val="0"/>
          <w:lang w:val="zh-TW" w:eastAsia="zh-TW"/>
        </w:rPr>
        <w:t>年中国海归就业创业调查报告</w:t>
      </w:r>
    </w:p>
    <w:p>
      <w:pPr>
        <w:pStyle w:val="Normal.0"/>
      </w:pPr>
    </w:p>
    <w:p>
      <w:pPr>
        <w:pStyle w:val="Normal.0"/>
      </w:pPr>
    </w:p>
    <w:p>
      <w:pPr>
        <w:pStyle w:val="Normal.0"/>
        <w:ind w:firstLine="420"/>
      </w:pPr>
      <w:r>
        <w:rPr>
          <w:rtl w:val="0"/>
          <w:lang w:val="en-US"/>
        </w:rPr>
        <w:t>2018</w:t>
      </w:r>
      <w:r>
        <w:rPr>
          <w:rtl w:val="0"/>
          <w:lang w:val="zh-TW" w:eastAsia="zh-TW"/>
        </w:rPr>
        <w:t>年，中国改革开放迎来了第四十个年头。四十年前，</w:t>
      </w:r>
      <w:r>
        <w:rPr>
          <w:rtl w:val="0"/>
          <w:lang w:val="en-US"/>
        </w:rPr>
        <w:t>“</w:t>
      </w:r>
      <w:r>
        <w:rPr>
          <w:rtl w:val="0"/>
          <w:lang w:val="zh-TW" w:eastAsia="zh-TW"/>
        </w:rPr>
        <w:t>支持留学、鼓励回国、来去自由</w:t>
      </w:r>
      <w:r>
        <w:rPr>
          <w:rtl w:val="0"/>
          <w:lang w:val="en-US"/>
        </w:rPr>
        <w:t>”</w:t>
      </w:r>
      <w:r>
        <w:rPr>
          <w:rtl w:val="0"/>
          <w:lang w:val="zh-TW" w:eastAsia="zh-TW"/>
        </w:rPr>
        <w:t>作为中国改革开放的重要举措，推动了中国留学事业的快速发展。海归，作为留学人员回国发展群体的代名词，在中国现代化进程中发挥了重要作用。</w:t>
      </w:r>
    </w:p>
    <w:p>
      <w:pPr>
        <w:pStyle w:val="Normal.0"/>
        <w:ind w:firstLine="440"/>
      </w:pPr>
      <w:r>
        <w:rPr>
          <w:spacing w:val="0"/>
          <w:rtl w:val="0"/>
          <w:lang w:val="zh-TW" w:eastAsia="zh-TW"/>
        </w:rPr>
        <w:t>海归群体活跃在中国经济快速增长的各个领域，除了担任跨国公司在中国的高管，也在本土国有和民营企业任职，帮助中国企业</w:t>
      </w:r>
      <w:r>
        <w:rPr>
          <w:spacing w:val="0"/>
          <w:rtl w:val="0"/>
          <w:lang w:val="en-US"/>
        </w:rPr>
        <w:t>“</w:t>
      </w:r>
      <w:r>
        <w:rPr>
          <w:spacing w:val="0"/>
          <w:rtl w:val="0"/>
          <w:lang w:val="zh-TW" w:eastAsia="zh-TW"/>
        </w:rPr>
        <w:t>引进来、走出去</w:t>
      </w:r>
      <w:r>
        <w:rPr>
          <w:spacing w:val="0"/>
          <w:rtl w:val="0"/>
          <w:lang w:val="en-US"/>
        </w:rPr>
        <w:t>”</w:t>
      </w:r>
      <w:r>
        <w:rPr>
          <w:spacing w:val="0"/>
          <w:rtl w:val="0"/>
          <w:lang w:val="zh-TW" w:eastAsia="zh-TW"/>
        </w:rPr>
        <w:t>。律师、会计师、咨询师等高端服务业也聚集了很多海归，在中国企业国际化的过程中扮演了重要的角色。更有一批具有专业背景和国际沟通能力的海归人才进入国际组织任职，推动了中国参与全球治理的进程。与此同时，创业海归们带来大量高精尖技术和现代企业管理理念，引入风险投资、国际资本及各种新的融资方式，带来多样化的产业选择，推动了国内在新经济、新技术、包括互联网、</w:t>
      </w:r>
      <w:r>
        <w:rPr>
          <w:spacing w:val="0"/>
          <w:rtl w:val="0"/>
          <w:lang w:val="en-US"/>
        </w:rPr>
        <w:t>IT</w:t>
      </w:r>
      <w:r>
        <w:rPr>
          <w:spacing w:val="0"/>
          <w:rtl w:val="0"/>
          <w:lang w:val="zh-TW" w:eastAsia="zh-TW"/>
        </w:rPr>
        <w:t>、通讯、生物医疗、传媒、文化教育等诸领域的发展，促成了更多的国际合作。</w:t>
      </w:r>
      <w:r>
        <w:rPr>
          <w:rtl w:val="0"/>
          <w:lang w:val="en-US"/>
        </w:rPr>
        <w:t>“</w:t>
      </w:r>
      <w:r>
        <w:rPr>
          <w:rtl w:val="0"/>
          <w:lang w:val="zh-TW" w:eastAsia="zh-TW"/>
        </w:rPr>
        <w:t>发挥作用</w:t>
      </w:r>
      <w:r>
        <w:rPr>
          <w:rtl w:val="0"/>
          <w:lang w:val="en-US"/>
        </w:rPr>
        <w:t>”</w:t>
      </w:r>
      <w:r>
        <w:rPr>
          <w:rtl w:val="0"/>
          <w:lang w:val="zh-TW" w:eastAsia="zh-TW"/>
        </w:rPr>
        <w:t>正在成为新时代海归群体的重要特点。</w:t>
      </w:r>
    </w:p>
    <w:p>
      <w:pPr>
        <w:pStyle w:val="Normal.0"/>
        <w:ind w:firstLine="420"/>
      </w:pPr>
      <w:r>
        <w:rPr>
          <w:rtl w:val="0"/>
          <w:lang w:val="zh-TW" w:eastAsia="zh-TW"/>
        </w:rPr>
        <w:t>随着我国经济社会的快速发展和国际影响力的逐步提升，留学生回国发展正在成为主流，高层次人才回流趋势愈发明显。教育部数据显示，</w:t>
      </w:r>
      <w:r>
        <w:rPr>
          <w:rtl w:val="0"/>
          <w:lang w:val="en-US"/>
        </w:rPr>
        <w:t>2017</w:t>
      </w:r>
      <w:r>
        <w:rPr>
          <w:rtl w:val="0"/>
          <w:lang w:val="zh-TW" w:eastAsia="zh-TW"/>
        </w:rPr>
        <w:t>年我国留学人员回国人数达到</w:t>
      </w:r>
      <w:r>
        <w:rPr>
          <w:rtl w:val="0"/>
          <w:lang w:val="en-US"/>
        </w:rPr>
        <w:t>48.09</w:t>
      </w:r>
      <w:r>
        <w:rPr>
          <w:rtl w:val="0"/>
          <w:lang w:val="zh-TW" w:eastAsia="zh-TW"/>
        </w:rPr>
        <w:t>万人，其中获得硕博研究生学历及博士后出站人员</w:t>
      </w:r>
      <w:r>
        <w:rPr>
          <w:rtl w:val="0"/>
          <w:lang w:val="en-US"/>
        </w:rPr>
        <w:t>22.74</w:t>
      </w:r>
      <w:r>
        <w:rPr>
          <w:rtl w:val="0"/>
          <w:lang w:val="zh-TW" w:eastAsia="zh-TW"/>
        </w:rPr>
        <w:t>万；</w:t>
      </w:r>
      <w:r>
        <w:rPr>
          <w:rtl w:val="0"/>
          <w:lang w:val="en-US"/>
        </w:rPr>
        <w:t>1978</w:t>
      </w:r>
      <w:r>
        <w:rPr>
          <w:rtl w:val="0"/>
          <w:lang w:val="zh-TW" w:eastAsia="zh-TW"/>
        </w:rPr>
        <w:t>年至</w:t>
      </w:r>
      <w:r>
        <w:rPr>
          <w:rtl w:val="0"/>
          <w:lang w:val="en-US"/>
        </w:rPr>
        <w:t>2017</w:t>
      </w:r>
      <w:r>
        <w:rPr>
          <w:rtl w:val="0"/>
          <w:lang w:val="zh-TW" w:eastAsia="zh-TW"/>
        </w:rPr>
        <w:t>年底有共计</w:t>
      </w:r>
      <w:r>
        <w:rPr>
          <w:rtl w:val="0"/>
          <w:lang w:val="en-US"/>
        </w:rPr>
        <w:t>313.20</w:t>
      </w:r>
      <w:r>
        <w:rPr>
          <w:rtl w:val="0"/>
          <w:lang w:val="zh-TW" w:eastAsia="zh-TW"/>
        </w:rPr>
        <w:t>万名留学生在完成学业后选择回国发展，占已完成学业留学生人数的</w:t>
      </w:r>
      <w:r>
        <w:rPr>
          <w:rtl w:val="0"/>
          <w:lang w:val="en-US"/>
        </w:rPr>
        <w:t>83.73%</w:t>
      </w:r>
      <w:r>
        <w:rPr>
          <w:rtl w:val="0"/>
          <w:lang w:val="zh-TW" w:eastAsia="zh-TW"/>
        </w:rPr>
        <w:t>。</w:t>
      </w:r>
      <w:r>
        <w:rPr>
          <w:spacing w:val="0"/>
          <w:rtl w:val="0"/>
          <w:lang w:val="zh-TW" w:eastAsia="zh-TW"/>
        </w:rPr>
        <w:t>他们中的很多人在教育、科技、文化、卫生等各个领域做出突出贡献，成为新时代我国国际人才队伍的重要组成部分。</w:t>
      </w:r>
    </w:p>
    <w:p>
      <w:pPr>
        <w:pStyle w:val="Normal.0"/>
        <w:ind w:firstLine="420"/>
      </w:pPr>
      <w:r>
        <w:rPr>
          <w:rtl w:val="0"/>
          <w:lang w:val="zh-TW" w:eastAsia="zh-TW"/>
        </w:rPr>
        <w:t>为了进一步促进留学人员更多、更好地回国发展，</w:t>
      </w:r>
      <w:r>
        <w:rPr>
          <w:rtl w:val="0"/>
          <w:lang w:val="zh-TW" w:eastAsia="zh-TW"/>
        </w:rPr>
        <w:t>智联招聘与</w:t>
      </w:r>
      <w:r>
        <w:rPr>
          <w:rtl w:val="0"/>
          <w:lang w:val="zh-TW" w:eastAsia="zh-TW"/>
        </w:rPr>
        <w:t>全球化智库（</w:t>
      </w:r>
      <w:r>
        <w:rPr>
          <w:rtl w:val="0"/>
          <w:lang w:val="en-US"/>
        </w:rPr>
        <w:t>CCG</w:t>
      </w:r>
      <w:r>
        <w:rPr>
          <w:rtl w:val="0"/>
          <w:lang w:val="zh-TW" w:eastAsia="zh-TW"/>
        </w:rPr>
        <w:t>）再度联手，就中国海归就业创业情况开展了新一轮的调查研究，并与</w:t>
      </w:r>
      <w:r>
        <w:rPr>
          <w:rtl w:val="0"/>
          <w:lang w:val="en-US"/>
        </w:rPr>
        <w:t>2018</w:t>
      </w:r>
      <w:r>
        <w:rPr>
          <w:rtl w:val="0"/>
          <w:lang w:val="zh-TW" w:eastAsia="zh-TW"/>
        </w:rPr>
        <w:t>年</w:t>
      </w:r>
      <w:r>
        <w:rPr>
          <w:rtl w:val="0"/>
          <w:lang w:val="en-US"/>
        </w:rPr>
        <w:t>8</w:t>
      </w:r>
      <w:r>
        <w:rPr>
          <w:rtl w:val="0"/>
          <w:lang w:val="zh-TW" w:eastAsia="zh-TW"/>
        </w:rPr>
        <w:t>月正式发布《</w:t>
      </w:r>
      <w:r>
        <w:rPr>
          <w:rtl w:val="0"/>
          <w:lang w:val="en-US"/>
        </w:rPr>
        <w:t>2018</w:t>
      </w:r>
      <w:r>
        <w:rPr>
          <w:rtl w:val="0"/>
          <w:lang w:val="zh-TW" w:eastAsia="zh-TW"/>
        </w:rPr>
        <w:t>中国海归就业创业调查报告》。本次研究重点反映了以</w:t>
      </w:r>
      <w:r>
        <w:rPr>
          <w:rtl w:val="0"/>
          <w:lang w:val="en-US"/>
        </w:rPr>
        <w:t>“</w:t>
      </w:r>
      <w:r>
        <w:rPr>
          <w:rtl w:val="0"/>
          <w:lang w:val="en-US"/>
        </w:rPr>
        <w:t>90</w:t>
      </w:r>
      <w:r>
        <w:rPr>
          <w:rtl w:val="0"/>
          <w:lang w:val="zh-TW" w:eastAsia="zh-TW"/>
        </w:rPr>
        <w:t>后</w:t>
      </w:r>
      <w:r>
        <w:rPr>
          <w:rtl w:val="0"/>
          <w:lang w:val="en-US"/>
        </w:rPr>
        <w:t>”</w:t>
      </w:r>
      <w:r>
        <w:rPr>
          <w:rtl w:val="0"/>
          <w:lang w:val="zh-TW" w:eastAsia="zh-TW"/>
        </w:rPr>
        <w:t>为主的新生代海归群体在留学前后的发展变化，对海归就业和创业情况进行了深入分析，对海归选择留学与回国的原因、对留学安全的认知、对落地城市的选择，以及对</w:t>
      </w:r>
      <w:r>
        <w:rPr>
          <w:rtl w:val="0"/>
          <w:lang w:val="en-US"/>
        </w:rPr>
        <w:t>“</w:t>
      </w:r>
      <w:r>
        <w:rPr>
          <w:rtl w:val="0"/>
          <w:lang w:val="zh-TW" w:eastAsia="zh-TW"/>
        </w:rPr>
        <w:t>人才大战</w:t>
      </w:r>
      <w:r>
        <w:rPr>
          <w:rtl w:val="0"/>
          <w:lang w:val="en-US"/>
        </w:rPr>
        <w:t>”</w:t>
      </w:r>
      <w:r>
        <w:rPr>
          <w:rtl w:val="0"/>
          <w:lang w:val="zh-TW" w:eastAsia="zh-TW"/>
        </w:rPr>
        <w:t>等社会问题的看法进行了调查。本次研究首次对海归群体留学前后的城市迁移情况进行了深入分析。</w:t>
      </w:r>
    </w:p>
    <w:p>
      <w:pPr>
        <w:pStyle w:val="Normal.0"/>
        <w:ind w:firstLine="420"/>
      </w:pPr>
      <w:r>
        <w:rPr>
          <w:rtl w:val="0"/>
          <w:lang w:val="zh-TW" w:eastAsia="zh-TW"/>
        </w:rPr>
        <w:t>由于时间仓促，加之研究团队水平有限，本次研究难免出现纰漏，希望广大读者批评指正。本在此，我们对所有参与本次调查的海归朋友和关心</w:t>
      </w:r>
      <w:r>
        <w:rPr>
          <w:rtl w:val="0"/>
          <w:lang w:val="en-US"/>
        </w:rPr>
        <w:t>“</w:t>
      </w:r>
      <w:r>
        <w:rPr>
          <w:rtl w:val="0"/>
          <w:lang w:val="zh-TW" w:eastAsia="zh-TW"/>
        </w:rPr>
        <w:t>中国海归就业创业调查</w:t>
      </w:r>
      <w:r>
        <w:rPr>
          <w:rtl w:val="0"/>
          <w:lang w:val="en-US"/>
        </w:rPr>
        <w:t>”</w:t>
      </w:r>
      <w:r>
        <w:rPr>
          <w:rtl w:val="0"/>
          <w:lang w:val="zh-TW" w:eastAsia="zh-TW"/>
        </w:rPr>
        <w:t>的海内外人士表示衷心的感谢！</w:t>
      </w:r>
    </w:p>
    <w:p>
      <w:pPr>
        <w:pStyle w:val="Normal.0"/>
        <w:ind w:firstLine="420"/>
      </w:pPr>
    </w:p>
    <w:p>
      <w:pPr>
        <w:pStyle w:val="Normal.0"/>
        <w:ind w:firstLine="420"/>
      </w:pPr>
      <w:r>
        <w:rPr>
          <w:rtl w:val="0"/>
          <w:lang w:val="zh-TW" w:eastAsia="zh-TW"/>
        </w:rPr>
        <w:t>注：</w:t>
      </w:r>
      <w:r>
        <w:rPr>
          <w:rtl w:val="0"/>
          <w:lang w:val="en-US"/>
        </w:rPr>
        <w:t>2018</w:t>
      </w:r>
      <w:r>
        <w:rPr>
          <w:rtl w:val="0"/>
          <w:lang w:val="zh-TW" w:eastAsia="zh-TW"/>
        </w:rPr>
        <w:t>年中国海归就业创业调查问卷受到了国内外的广泛关注，本次问卷共收到回复</w:t>
      </w:r>
      <w:r>
        <w:rPr>
          <w:rtl w:val="0"/>
          <w:lang w:val="en-US"/>
        </w:rPr>
        <w:t>5196</w:t>
      </w:r>
      <w:r>
        <w:rPr>
          <w:rtl w:val="0"/>
          <w:lang w:val="zh-TW" w:eastAsia="zh-TW"/>
        </w:rPr>
        <w:t>份，包括海归群体和非海归群体。经过</w:t>
      </w:r>
      <w:r>
        <w:rPr>
          <w:rtl w:val="0"/>
          <w:lang w:val="en-US"/>
        </w:rPr>
        <w:t>“</w:t>
      </w:r>
      <w:r>
        <w:rPr>
          <w:rtl w:val="0"/>
          <w:lang w:val="zh-TW" w:eastAsia="zh-TW"/>
        </w:rPr>
        <w:t>是否具有留学经历</w:t>
      </w:r>
      <w:r>
        <w:rPr>
          <w:rtl w:val="0"/>
          <w:lang w:val="en-US"/>
        </w:rPr>
        <w:t>”</w:t>
      </w:r>
      <w:r>
        <w:rPr>
          <w:rtl w:val="0"/>
          <w:lang w:val="zh-TW" w:eastAsia="zh-TW"/>
        </w:rPr>
        <w:t>问题的筛选，有效问卷为</w:t>
      </w:r>
      <w:r>
        <w:rPr>
          <w:rtl w:val="0"/>
          <w:lang w:val="en-US"/>
        </w:rPr>
        <w:t>2190</w:t>
      </w:r>
      <w:r>
        <w:rPr>
          <w:rtl w:val="0"/>
          <w:lang w:val="zh-TW" w:eastAsia="zh-TW"/>
        </w:rPr>
        <w:t>份。问卷平均填写用时为</w:t>
      </w:r>
      <w:r>
        <w:rPr>
          <w:rtl w:val="0"/>
          <w:lang w:val="en-US"/>
        </w:rPr>
        <w:t>11</w:t>
      </w:r>
      <w:r>
        <w:rPr>
          <w:rtl w:val="0"/>
          <w:lang w:val="zh-TW" w:eastAsia="zh-TW"/>
        </w:rPr>
        <w:t>分钟。报告正文中提到的海归群体如无特殊说明，均指代参与本次调研的海归群体，后文不再赘述。</w:t>
      </w:r>
    </w:p>
    <w:p>
      <w:pPr>
        <w:pStyle w:val="Normal.0"/>
        <w:widowControl w:val="1"/>
        <w:jc w:val="left"/>
      </w:pPr>
      <w:r>
        <w:br w:type="page"/>
      </w:r>
    </w:p>
    <w:p>
      <w:pPr>
        <w:pStyle w:val="heading 1"/>
        <w:rPr>
          <w:lang w:val="zh-TW" w:eastAsia="zh-TW"/>
        </w:rPr>
      </w:pPr>
      <w:r>
        <w:rPr>
          <w:rFonts w:ascii="黑体" w:cs="黑体" w:hAnsi="黑体" w:eastAsia="黑体"/>
          <w:rtl w:val="0"/>
          <w:lang w:val="zh-TW" w:eastAsia="zh-TW"/>
        </w:rPr>
        <w:t>基本特征</w:t>
      </w:r>
    </w:p>
    <w:p>
      <w:pPr>
        <w:pStyle w:val="heading 2"/>
      </w:pPr>
      <w:r>
        <w:rPr>
          <w:rtl w:val="0"/>
          <w:lang w:val="zh-TW" w:eastAsia="zh-TW"/>
        </w:rPr>
        <w:t>样本特征：海归群体中女性样本占比略高于男性；出生年代多集中于</w:t>
      </w:r>
      <w:r>
        <w:rPr>
          <w:rtl w:val="0"/>
          <w:lang w:val="en-US"/>
        </w:rPr>
        <w:t>85-95</w:t>
      </w:r>
      <w:r>
        <w:rPr>
          <w:rtl w:val="0"/>
          <w:lang w:val="zh-TW" w:eastAsia="zh-TW"/>
        </w:rPr>
        <w:t>年区间；未婚群体占比超过四分之三。</w:t>
      </w:r>
    </w:p>
    <w:p>
      <w:pPr>
        <w:pStyle w:val="Normal.0"/>
        <w:ind w:firstLine="420"/>
      </w:pPr>
      <w:r>
        <w:rPr>
          <w:rtl w:val="0"/>
          <w:lang w:val="zh-TW" w:eastAsia="zh-TW"/>
        </w:rPr>
        <w:t>调查数据显示，海归群体中男女占比大致相当。其中，女性样本占比略高于男性，男女占比分别为</w:t>
      </w:r>
      <w:r>
        <w:rPr>
          <w:rtl w:val="0"/>
          <w:lang w:val="en-US"/>
        </w:rPr>
        <w:t>47%</w:t>
      </w:r>
      <w:r>
        <w:rPr>
          <w:rtl w:val="0"/>
          <w:lang w:val="zh-TW" w:eastAsia="zh-TW"/>
        </w:rPr>
        <w:t>与</w:t>
      </w:r>
      <w:r>
        <w:rPr>
          <w:rtl w:val="0"/>
          <w:lang w:val="en-US"/>
        </w:rPr>
        <w:t>53%</w:t>
      </w:r>
      <w:r>
        <w:rPr>
          <w:rtl w:val="0"/>
          <w:lang w:val="zh-TW" w:eastAsia="zh-TW"/>
        </w:rPr>
        <w:t>。</w:t>
      </w:r>
    </w:p>
    <w:p>
      <w:pPr>
        <w:pStyle w:val="Normal.0"/>
        <w:keepNext w:val="1"/>
      </w:pPr>
      <w:r>
        <w:drawing>
          <wp:inline distT="0" distB="0" distL="0" distR="0">
            <wp:extent cx="2049648" cy="2687499"/>
            <wp:effectExtent l="0" t="0" r="0" b="0"/>
            <wp:docPr id="1073741825" name="officeArt object"/>
            <wp:cNvGraphicFramePr/>
            <a:graphic xmlns:a="http://schemas.openxmlformats.org/drawingml/2006/main">
              <a:graphicData uri="http://schemas.openxmlformats.org/drawingml/2006/chart">
                <c:chart xmlns:c="http://schemas.openxmlformats.org/drawingml/2006/chart" r:id="rId4"/>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 </w:t>
      </w:r>
      <w:r>
        <w:rPr>
          <w:rFonts w:ascii="黑体" w:cs="黑体" w:hAnsi="黑体" w:eastAsia="黑体"/>
          <w:rtl w:val="0"/>
          <w:lang w:val="zh-TW" w:eastAsia="zh-TW"/>
        </w:rPr>
        <w:t>海归群体男女比例情况</w:t>
      </w:r>
    </w:p>
    <w:p>
      <w:pPr>
        <w:pStyle w:val="Normal.0"/>
        <w:ind w:firstLine="420"/>
      </w:pPr>
      <w:r>
        <w:rPr>
          <w:rtl w:val="0"/>
          <w:lang w:val="zh-TW" w:eastAsia="zh-TW"/>
        </w:rPr>
        <w:t>从年龄分布特征看，海归群体多集中于</w:t>
      </w:r>
      <w:r>
        <w:rPr>
          <w:rtl w:val="0"/>
          <w:lang w:val="en-US"/>
        </w:rPr>
        <w:t>90-95</w:t>
      </w:r>
      <w:r>
        <w:rPr>
          <w:rtl w:val="0"/>
          <w:lang w:val="zh-TW" w:eastAsia="zh-TW"/>
        </w:rPr>
        <w:t>年（不含</w:t>
      </w:r>
      <w:r>
        <w:rPr>
          <w:rtl w:val="0"/>
          <w:lang w:val="en-US"/>
        </w:rPr>
        <w:t>95</w:t>
      </w:r>
      <w:r>
        <w:rPr>
          <w:rtl w:val="0"/>
          <w:lang w:val="zh-TW" w:eastAsia="zh-TW"/>
        </w:rPr>
        <w:t>年）年龄区间，占比高达</w:t>
      </w:r>
      <w:r>
        <w:rPr>
          <w:rtl w:val="0"/>
          <w:lang w:val="en-US"/>
        </w:rPr>
        <w:t>55%</w:t>
      </w:r>
      <w:r>
        <w:rPr>
          <w:rtl w:val="0"/>
          <w:lang w:val="zh-TW" w:eastAsia="zh-TW"/>
        </w:rPr>
        <w:t>，其次是</w:t>
      </w:r>
      <w:r>
        <w:rPr>
          <w:rtl w:val="0"/>
          <w:lang w:val="en-US"/>
        </w:rPr>
        <w:t>85-90</w:t>
      </w:r>
      <w:r>
        <w:rPr>
          <w:rtl w:val="0"/>
          <w:lang w:val="zh-TW" w:eastAsia="zh-TW"/>
        </w:rPr>
        <w:t>年（不含</w:t>
      </w:r>
      <w:r>
        <w:rPr>
          <w:rtl w:val="0"/>
          <w:lang w:val="en-US"/>
        </w:rPr>
        <w:t>90</w:t>
      </w:r>
      <w:r>
        <w:rPr>
          <w:rtl w:val="0"/>
          <w:lang w:val="zh-TW" w:eastAsia="zh-TW"/>
        </w:rPr>
        <w:t>年），占比为</w:t>
      </w:r>
      <w:r>
        <w:rPr>
          <w:rtl w:val="0"/>
          <w:lang w:val="en-US"/>
        </w:rPr>
        <w:t>28%</w:t>
      </w:r>
      <w:r>
        <w:rPr>
          <w:rtl w:val="0"/>
          <w:lang w:val="zh-TW" w:eastAsia="zh-TW"/>
        </w:rPr>
        <w:t>。其余年龄段受访样本占比均不高于</w:t>
      </w:r>
      <w:r>
        <w:rPr>
          <w:rtl w:val="0"/>
          <w:lang w:val="en-US"/>
        </w:rPr>
        <w:t>10%</w:t>
      </w:r>
      <w:r>
        <w:rPr>
          <w:rtl w:val="0"/>
          <w:lang w:val="zh-TW" w:eastAsia="zh-TW"/>
        </w:rPr>
        <w:t>。结合各年龄段男女比例来看，</w:t>
      </w:r>
      <w:r>
        <w:rPr>
          <w:rtl w:val="0"/>
          <w:lang w:val="en-US"/>
        </w:rPr>
        <w:t>“</w:t>
      </w:r>
      <w:r>
        <w:rPr>
          <w:rtl w:val="0"/>
          <w:lang w:val="en-US"/>
        </w:rPr>
        <w:t>90</w:t>
      </w:r>
      <w:r>
        <w:rPr>
          <w:rtl w:val="0"/>
          <w:lang w:val="zh-TW" w:eastAsia="zh-TW"/>
        </w:rPr>
        <w:t>后</w:t>
      </w:r>
      <w:r>
        <w:rPr>
          <w:rtl w:val="0"/>
          <w:lang w:val="en-US"/>
        </w:rPr>
        <w:t>”</w:t>
      </w:r>
      <w:r>
        <w:rPr>
          <w:rtl w:val="0"/>
          <w:lang w:val="zh-TW" w:eastAsia="zh-TW"/>
        </w:rPr>
        <w:t>及</w:t>
      </w:r>
      <w:r>
        <w:rPr>
          <w:rtl w:val="0"/>
          <w:lang w:val="en-US"/>
        </w:rPr>
        <w:t>“</w:t>
      </w:r>
      <w:r>
        <w:rPr>
          <w:rtl w:val="0"/>
          <w:lang w:val="en-US"/>
        </w:rPr>
        <w:t>95</w:t>
      </w:r>
      <w:r>
        <w:rPr>
          <w:rtl w:val="0"/>
          <w:lang w:val="zh-TW" w:eastAsia="zh-TW"/>
        </w:rPr>
        <w:t>后</w:t>
      </w:r>
      <w:r>
        <w:rPr>
          <w:rtl w:val="0"/>
          <w:lang w:val="en-US"/>
        </w:rPr>
        <w:t>”</w:t>
      </w:r>
      <w:r>
        <w:rPr>
          <w:rtl w:val="0"/>
          <w:lang w:val="zh-TW" w:eastAsia="zh-TW"/>
        </w:rPr>
        <w:t>样本群体中女性占比略高于男性，是总样本中女性占比略高于男性的主要原因，也反映出新生代女性海归的比例不断增加。其余年龄段，男性占比均略高于女性。</w:t>
      </w:r>
    </w:p>
    <w:p>
      <w:pPr>
        <w:pStyle w:val="Normal.0"/>
        <w:keepNext w:val="1"/>
      </w:pPr>
      <w:r>
        <w:drawing>
          <wp:inline distT="0" distB="0" distL="0" distR="0">
            <wp:extent cx="5185345" cy="2826588"/>
            <wp:effectExtent l="0" t="0" r="0" 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 </w:t>
      </w:r>
      <w:r>
        <w:rPr>
          <w:rFonts w:ascii="黑体" w:cs="黑体" w:hAnsi="黑体" w:eastAsia="黑体"/>
          <w:rtl w:val="0"/>
          <w:lang w:val="zh-TW" w:eastAsia="zh-TW"/>
        </w:rPr>
        <w:t>海归群体出生年代分布情况</w:t>
      </w:r>
    </w:p>
    <w:p>
      <w:pPr>
        <w:pStyle w:val="Normal.0"/>
        <w:ind w:firstLine="420"/>
      </w:pPr>
      <w:r>
        <w:rPr>
          <w:rtl w:val="0"/>
          <w:lang w:val="zh-TW" w:eastAsia="zh-TW"/>
        </w:rPr>
        <w:t>从婚恋状况看，未婚受访样本占比超过四分之三。其中，</w:t>
      </w:r>
      <w:r>
        <w:rPr>
          <w:rtl w:val="0"/>
          <w:lang w:val="en-US"/>
        </w:rPr>
        <w:t>“</w:t>
      </w:r>
      <w:r>
        <w:rPr>
          <w:rtl w:val="0"/>
          <w:lang w:val="zh-TW" w:eastAsia="zh-TW"/>
        </w:rPr>
        <w:t>单身</w:t>
      </w:r>
      <w:r>
        <w:rPr>
          <w:rtl w:val="0"/>
          <w:lang w:val="en-US"/>
        </w:rPr>
        <w:t>”</w:t>
      </w:r>
      <w:r>
        <w:rPr>
          <w:rtl w:val="0"/>
          <w:lang w:val="zh-TW" w:eastAsia="zh-TW"/>
        </w:rPr>
        <w:t>样本群体占比最高，达到</w:t>
      </w:r>
      <w:r>
        <w:rPr>
          <w:rtl w:val="0"/>
          <w:lang w:val="en-US"/>
        </w:rPr>
        <w:t>47%</w:t>
      </w:r>
      <w:r>
        <w:rPr>
          <w:rtl w:val="0"/>
          <w:lang w:val="zh-TW" w:eastAsia="zh-TW"/>
        </w:rPr>
        <w:t>，</w:t>
      </w:r>
      <w:r>
        <w:rPr>
          <w:rtl w:val="0"/>
          <w:lang w:val="en-US"/>
        </w:rPr>
        <w:t>“</w:t>
      </w:r>
      <w:r>
        <w:rPr>
          <w:rtl w:val="0"/>
          <w:lang w:val="zh-TW" w:eastAsia="zh-TW"/>
        </w:rPr>
        <w:t>未婚，已有男</w:t>
      </w:r>
      <w:r>
        <w:rPr>
          <w:rtl w:val="0"/>
          <w:lang w:val="en-US"/>
        </w:rPr>
        <w:t>/</w:t>
      </w:r>
      <w:r>
        <w:rPr>
          <w:rtl w:val="0"/>
          <w:lang w:val="zh-TW" w:eastAsia="zh-TW"/>
        </w:rPr>
        <w:t>女朋友</w:t>
      </w:r>
      <w:r>
        <w:rPr>
          <w:rtl w:val="0"/>
          <w:lang w:val="en-US"/>
        </w:rPr>
        <w:t>”</w:t>
      </w:r>
      <w:r>
        <w:rPr>
          <w:rtl w:val="0"/>
          <w:lang w:val="zh-TW" w:eastAsia="zh-TW"/>
        </w:rPr>
        <w:t>占比为</w:t>
      </w:r>
      <w:r>
        <w:rPr>
          <w:rtl w:val="0"/>
          <w:lang w:val="en-US"/>
        </w:rPr>
        <w:t>29%</w:t>
      </w:r>
      <w:r>
        <w:rPr>
          <w:rtl w:val="0"/>
          <w:lang w:val="zh-TW" w:eastAsia="zh-TW"/>
        </w:rPr>
        <w:t>，仅有</w:t>
      </w:r>
      <w:r>
        <w:rPr>
          <w:rtl w:val="0"/>
          <w:lang w:val="en-US"/>
        </w:rPr>
        <w:t>23%</w:t>
      </w:r>
      <w:r>
        <w:rPr>
          <w:rtl w:val="0"/>
          <w:lang w:val="zh-TW" w:eastAsia="zh-TW"/>
        </w:rPr>
        <w:t>的受访样本为已婚，此外有</w:t>
      </w:r>
      <w:r>
        <w:rPr>
          <w:rtl w:val="0"/>
          <w:lang w:val="en-US"/>
        </w:rPr>
        <w:t>1%</w:t>
      </w:r>
      <w:r>
        <w:rPr>
          <w:rtl w:val="0"/>
          <w:lang w:val="zh-TW" w:eastAsia="zh-TW"/>
        </w:rPr>
        <w:t>的受访样本为离异状态。这一婚恋状况分布主要受到海归群体的出生年代影响，尤其是作为海归群体主要组成的</w:t>
      </w:r>
      <w:r>
        <w:rPr>
          <w:rtl w:val="0"/>
          <w:lang w:val="en-US"/>
        </w:rPr>
        <w:t>“</w:t>
      </w:r>
      <w:r>
        <w:rPr>
          <w:rtl w:val="0"/>
          <w:lang w:val="en-US"/>
        </w:rPr>
        <w:t>90</w:t>
      </w:r>
      <w:r>
        <w:rPr>
          <w:rtl w:val="0"/>
          <w:lang w:val="zh-TW" w:eastAsia="zh-TW"/>
        </w:rPr>
        <w:t>后</w:t>
      </w:r>
      <w:r>
        <w:rPr>
          <w:rtl w:val="0"/>
          <w:lang w:val="en-US"/>
        </w:rPr>
        <w:t>”</w:t>
      </w:r>
      <w:r>
        <w:rPr>
          <w:rtl w:val="0"/>
          <w:lang w:val="zh-TW" w:eastAsia="zh-TW"/>
        </w:rPr>
        <w:t>群体，其实际年龄约在</w:t>
      </w:r>
      <w:r>
        <w:rPr>
          <w:rtl w:val="0"/>
          <w:lang w:val="en-US"/>
        </w:rPr>
        <w:t>23-28</w:t>
      </w:r>
      <w:r>
        <w:rPr>
          <w:rtl w:val="0"/>
          <w:lang w:val="zh-TW" w:eastAsia="zh-TW"/>
        </w:rPr>
        <w:t>岁之间。</w:t>
      </w:r>
    </w:p>
    <w:p>
      <w:pPr>
        <w:pStyle w:val="Normal.0"/>
        <w:keepNext w:val="1"/>
      </w:pPr>
      <w:r>
        <w:drawing>
          <wp:inline distT="0" distB="0" distL="0" distR="0">
            <wp:extent cx="5185345" cy="2826588"/>
            <wp:effectExtent l="0" t="0" r="0" b="0"/>
            <wp:docPr id="1073741827" name="officeArt object"/>
            <wp:cNvGraphicFramePr/>
            <a:graphic xmlns:a="http://schemas.openxmlformats.org/drawingml/2006/main">
              <a:graphicData uri="http://schemas.openxmlformats.org/drawingml/2006/chart">
                <c:chart xmlns:c="http://schemas.openxmlformats.org/drawingml/2006/chart" r:id="rId6"/>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 </w:t>
      </w:r>
      <w:r>
        <w:rPr>
          <w:rFonts w:ascii="黑体" w:cs="黑体" w:hAnsi="黑体" w:eastAsia="黑体"/>
          <w:rtl w:val="0"/>
          <w:lang w:val="zh-TW" w:eastAsia="zh-TW"/>
        </w:rPr>
        <w:t>海归群体的婚恋情况</w:t>
      </w:r>
    </w:p>
    <w:p>
      <w:pPr>
        <w:pStyle w:val="heading 1"/>
        <w:rPr>
          <w:lang w:val="zh-TW" w:eastAsia="zh-TW"/>
        </w:rPr>
      </w:pPr>
      <w:r>
        <w:rPr>
          <w:rFonts w:ascii="黑体" w:cs="黑体" w:hAnsi="黑体" w:eastAsia="黑体"/>
          <w:rtl w:val="0"/>
          <w:lang w:val="zh-TW" w:eastAsia="zh-TW"/>
        </w:rPr>
        <w:t>出国留学</w:t>
      </w:r>
    </w:p>
    <w:p>
      <w:pPr>
        <w:pStyle w:val="Normal.0"/>
        <w:ind w:firstLine="420"/>
      </w:pPr>
      <w:r>
        <w:rPr>
          <w:rtl w:val="0"/>
          <w:lang w:val="zh-TW" w:eastAsia="zh-TW"/>
        </w:rPr>
        <w:t>随着中国经济社会的快速发展和参与全球化程度的逐步加深，越来越多的家庭可以承担或者更希望送子女出国留学，而中国留学生对于出国留学也赋予了更多的意义。调查数据显示，</w:t>
      </w:r>
      <w:r>
        <w:rPr>
          <w:rtl w:val="0"/>
          <w:lang w:val="en-US"/>
        </w:rPr>
        <w:t>“</w:t>
      </w:r>
      <w:r>
        <w:rPr>
          <w:rtl w:val="0"/>
          <w:lang w:val="zh-TW" w:eastAsia="zh-TW"/>
        </w:rPr>
        <w:t>体验他国文化、生活，丰富个人阅历</w:t>
      </w:r>
      <w:r>
        <w:rPr>
          <w:rtl w:val="0"/>
          <w:lang w:val="en-US"/>
        </w:rPr>
        <w:t>”</w:t>
      </w:r>
      <w:r>
        <w:rPr>
          <w:rtl w:val="0"/>
          <w:lang w:val="zh-TW" w:eastAsia="zh-TW"/>
        </w:rPr>
        <w:t>是海归群体选择出国留学的主要原因，占比达到</w:t>
      </w:r>
      <w:r>
        <w:rPr>
          <w:rtl w:val="0"/>
          <w:lang w:val="en-US"/>
        </w:rPr>
        <w:t>76%</w:t>
      </w:r>
      <w:r>
        <w:rPr>
          <w:rtl w:val="0"/>
          <w:lang w:val="zh-TW" w:eastAsia="zh-TW"/>
        </w:rPr>
        <w:t>。其中，女性相对于男性来说，更青睐于该选项为其出国留学所带来的附加意义。此外，</w:t>
      </w:r>
      <w:r>
        <w:rPr>
          <w:rtl w:val="0"/>
          <w:lang w:val="en-US"/>
        </w:rPr>
        <w:t>“</w:t>
      </w:r>
      <w:r>
        <w:rPr>
          <w:rtl w:val="0"/>
          <w:lang w:val="zh-TW" w:eastAsia="zh-TW"/>
        </w:rPr>
        <w:t>磨炼独立自主的生活能力</w:t>
      </w:r>
      <w:r>
        <w:rPr>
          <w:rtl w:val="0"/>
          <w:lang w:val="en-US"/>
        </w:rPr>
        <w:t>”</w:t>
      </w:r>
      <w:r>
        <w:rPr>
          <w:rtl w:val="0"/>
          <w:lang w:val="zh-TW" w:eastAsia="zh-TW"/>
        </w:rPr>
        <w:t>和</w:t>
      </w:r>
      <w:r>
        <w:rPr>
          <w:rtl w:val="0"/>
          <w:lang w:val="en-US"/>
        </w:rPr>
        <w:t>“</w:t>
      </w:r>
      <w:r>
        <w:rPr>
          <w:rtl w:val="0"/>
          <w:lang w:val="zh-TW" w:eastAsia="zh-TW"/>
        </w:rPr>
        <w:t>国外教育水平相对较高</w:t>
      </w:r>
      <w:r>
        <w:rPr>
          <w:rtl w:val="0"/>
          <w:lang w:val="en-US"/>
        </w:rPr>
        <w:t>”</w:t>
      </w:r>
      <w:r>
        <w:rPr>
          <w:rtl w:val="0"/>
          <w:lang w:val="zh-TW" w:eastAsia="zh-TW"/>
        </w:rPr>
        <w:t>也是重要原因，分别占比</w:t>
      </w:r>
      <w:r>
        <w:rPr>
          <w:rtl w:val="0"/>
          <w:lang w:val="en-US"/>
        </w:rPr>
        <w:t>52%</w:t>
      </w:r>
      <w:r>
        <w:rPr>
          <w:rtl w:val="0"/>
          <w:lang w:val="zh-TW" w:eastAsia="zh-TW"/>
        </w:rPr>
        <w:t>和</w:t>
      </w:r>
      <w:r>
        <w:rPr>
          <w:rtl w:val="0"/>
          <w:lang w:val="en-US"/>
        </w:rPr>
        <w:t>51%</w:t>
      </w:r>
      <w:r>
        <w:rPr>
          <w:rtl w:val="0"/>
          <w:lang w:val="zh-TW" w:eastAsia="zh-TW"/>
        </w:rPr>
        <w:t>。另有</w:t>
      </w:r>
      <w:r>
        <w:rPr>
          <w:rtl w:val="0"/>
          <w:lang w:val="en-US"/>
        </w:rPr>
        <w:t>33%</w:t>
      </w:r>
      <w:r>
        <w:rPr>
          <w:rtl w:val="0"/>
          <w:lang w:val="zh-TW" w:eastAsia="zh-TW"/>
        </w:rPr>
        <w:t>的人选择</w:t>
      </w:r>
      <w:r>
        <w:rPr>
          <w:rtl w:val="0"/>
          <w:lang w:val="en-US"/>
        </w:rPr>
        <w:t>“</w:t>
      </w:r>
      <w:r>
        <w:rPr>
          <w:rtl w:val="0"/>
          <w:lang w:val="zh-TW" w:eastAsia="zh-TW"/>
        </w:rPr>
        <w:t>海归回国发展更有竞争力</w:t>
      </w:r>
      <w:r>
        <w:rPr>
          <w:rtl w:val="0"/>
          <w:lang w:val="en-US"/>
        </w:rPr>
        <w:t>”</w:t>
      </w:r>
      <w:r>
        <w:rPr>
          <w:rtl w:val="0"/>
          <w:lang w:val="zh-TW" w:eastAsia="zh-TW"/>
        </w:rPr>
        <w:t>；因</w:t>
      </w:r>
      <w:r>
        <w:rPr>
          <w:rtl w:val="0"/>
          <w:lang w:val="en-US"/>
        </w:rPr>
        <w:t>“</w:t>
      </w:r>
      <w:r>
        <w:rPr>
          <w:rtl w:val="0"/>
          <w:lang w:val="zh-TW" w:eastAsia="zh-TW"/>
        </w:rPr>
        <w:t>国内优质教育资源竞争激烈</w:t>
      </w:r>
      <w:r>
        <w:rPr>
          <w:rtl w:val="0"/>
          <w:lang w:val="en-US"/>
        </w:rPr>
        <w:t>”</w:t>
      </w:r>
      <w:r>
        <w:rPr>
          <w:rtl w:val="0"/>
          <w:lang w:val="zh-TW" w:eastAsia="zh-TW"/>
        </w:rPr>
        <w:t>、</w:t>
      </w:r>
      <w:r>
        <w:rPr>
          <w:rtl w:val="0"/>
          <w:lang w:val="en-US"/>
        </w:rPr>
        <w:t>“</w:t>
      </w:r>
      <w:r>
        <w:rPr>
          <w:rtl w:val="0"/>
          <w:lang w:val="zh-TW" w:eastAsia="zh-TW"/>
        </w:rPr>
        <w:t>计划未来在国外发展</w:t>
      </w:r>
      <w:r>
        <w:rPr>
          <w:rtl w:val="0"/>
          <w:lang w:val="en-US"/>
        </w:rPr>
        <w:t>”</w:t>
      </w:r>
      <w:r>
        <w:rPr>
          <w:rtl w:val="0"/>
          <w:lang w:val="zh-TW" w:eastAsia="zh-TW"/>
        </w:rPr>
        <w:t>和</w:t>
      </w:r>
      <w:r>
        <w:rPr>
          <w:rtl w:val="0"/>
          <w:lang w:val="en-US"/>
        </w:rPr>
        <w:t>“</w:t>
      </w:r>
      <w:r>
        <w:rPr>
          <w:rtl w:val="0"/>
          <w:lang w:val="zh-TW" w:eastAsia="zh-TW"/>
        </w:rPr>
        <w:t>其他</w:t>
      </w:r>
      <w:r>
        <w:rPr>
          <w:rtl w:val="0"/>
          <w:lang w:val="en-US"/>
        </w:rPr>
        <w:t>”</w:t>
      </w:r>
      <w:r>
        <w:rPr>
          <w:rtl w:val="0"/>
          <w:lang w:val="zh-TW" w:eastAsia="zh-TW"/>
        </w:rPr>
        <w:t>原因选择出国留学的比例相对较低。</w:t>
      </w:r>
    </w:p>
    <w:p>
      <w:pPr>
        <w:pStyle w:val="Normal.0"/>
        <w:keepNext w:val="1"/>
      </w:pPr>
      <w:r>
        <w:drawing>
          <wp:inline distT="0" distB="0" distL="0" distR="0">
            <wp:extent cx="5331673" cy="2826588"/>
            <wp:effectExtent l="0" t="0" r="0" b="0"/>
            <wp:docPr id="1073741828" name="officeArt object"/>
            <wp:cNvGraphicFramePr/>
            <a:graphic xmlns:a="http://schemas.openxmlformats.org/drawingml/2006/main">
              <a:graphicData uri="http://schemas.openxmlformats.org/drawingml/2006/chart">
                <c:chart xmlns:c="http://schemas.openxmlformats.org/drawingml/2006/chart" r:id="rId7"/>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 </w:t>
      </w:r>
      <w:r>
        <w:rPr>
          <w:rFonts w:ascii="黑体" w:cs="黑体" w:hAnsi="黑体" w:eastAsia="黑体"/>
          <w:rtl w:val="0"/>
          <w:lang w:val="zh-TW" w:eastAsia="zh-TW"/>
        </w:rPr>
        <w:t>为什么选择留学</w:t>
      </w:r>
    </w:p>
    <w:p>
      <w:pPr>
        <w:pStyle w:val="heading 2"/>
      </w:pPr>
      <w:r>
        <w:rPr>
          <w:rtl w:val="0"/>
          <w:lang w:val="zh-TW" w:eastAsia="zh-TW"/>
        </w:rPr>
        <w:t>（一）留学情况：海归群体超七成是在</w:t>
      </w:r>
      <w:r>
        <w:rPr>
          <w:rFonts w:ascii="Calibri" w:cs="Calibri" w:hAnsi="Calibri" w:eastAsia="Calibri"/>
          <w:rtl w:val="0"/>
          <w:lang w:val="en-US"/>
        </w:rPr>
        <w:t>2010</w:t>
      </w:r>
      <w:r>
        <w:rPr>
          <w:rtl w:val="0"/>
          <w:lang w:val="zh-TW" w:eastAsia="zh-TW"/>
        </w:rPr>
        <w:t>年以后首次出国留学；超半数人留学前处于本科阶段；男性更多地选择赴美国留学，女性则更青睐于英国；超过四成以经济学和商学作为主修学科；硕士及学士学位为海归群体留学中主要攻读的学位；近一半的海归群体认为留学收益达到预期。</w:t>
      </w:r>
    </w:p>
    <w:p>
      <w:pPr>
        <w:pStyle w:val="Normal.0"/>
        <w:ind w:firstLine="420"/>
      </w:pPr>
      <w:r>
        <w:rPr>
          <w:rtl w:val="0"/>
          <w:lang w:val="zh-TW" w:eastAsia="zh-TW"/>
        </w:rPr>
        <w:t>从首次出国留学年份分布看，海归群体出国留学时间主要集中于</w:t>
      </w:r>
      <w:r>
        <w:rPr>
          <w:rtl w:val="0"/>
          <w:lang w:val="en-US"/>
        </w:rPr>
        <w:t>2010</w:t>
      </w:r>
      <w:r>
        <w:rPr>
          <w:rtl w:val="0"/>
          <w:lang w:val="zh-TW" w:eastAsia="zh-TW"/>
        </w:rPr>
        <w:t>年以后，合计占比达到</w:t>
      </w:r>
      <w:r>
        <w:rPr>
          <w:rtl w:val="0"/>
          <w:lang w:val="en-US"/>
        </w:rPr>
        <w:t>72%</w:t>
      </w:r>
      <w:r>
        <w:rPr>
          <w:rtl w:val="0"/>
          <w:lang w:val="zh-TW" w:eastAsia="zh-TW"/>
        </w:rPr>
        <w:t>。其中，</w:t>
      </w:r>
      <w:r>
        <w:rPr>
          <w:rtl w:val="0"/>
          <w:lang w:val="en-US"/>
        </w:rPr>
        <w:t>2012</w:t>
      </w:r>
      <w:r>
        <w:rPr>
          <w:rtl w:val="0"/>
          <w:lang w:val="zh-TW" w:eastAsia="zh-TW"/>
        </w:rPr>
        <w:t>、</w:t>
      </w:r>
      <w:r>
        <w:rPr>
          <w:rtl w:val="0"/>
          <w:lang w:val="en-US"/>
        </w:rPr>
        <w:t>2013</w:t>
      </w:r>
      <w:r>
        <w:rPr>
          <w:rtl w:val="0"/>
          <w:lang w:val="zh-TW" w:eastAsia="zh-TW"/>
        </w:rPr>
        <w:t>、</w:t>
      </w:r>
      <w:r>
        <w:rPr>
          <w:rtl w:val="0"/>
          <w:lang w:val="en-US"/>
        </w:rPr>
        <w:t>2014</w:t>
      </w:r>
      <w:r>
        <w:rPr>
          <w:rtl w:val="0"/>
          <w:lang w:val="zh-TW" w:eastAsia="zh-TW"/>
        </w:rPr>
        <w:t>三年占比最高，分别达到</w:t>
      </w:r>
      <w:r>
        <w:rPr>
          <w:rtl w:val="0"/>
          <w:lang w:val="en-US"/>
        </w:rPr>
        <w:t>11%</w:t>
      </w:r>
      <w:r>
        <w:rPr>
          <w:rtl w:val="0"/>
          <w:lang w:val="zh-TW" w:eastAsia="zh-TW"/>
        </w:rPr>
        <w:t>、</w:t>
      </w:r>
      <w:r>
        <w:rPr>
          <w:rtl w:val="0"/>
          <w:lang w:val="en-US"/>
        </w:rPr>
        <w:t>10%</w:t>
      </w:r>
      <w:r>
        <w:rPr>
          <w:rtl w:val="0"/>
          <w:lang w:val="zh-TW" w:eastAsia="zh-TW"/>
        </w:rPr>
        <w:t>及</w:t>
      </w:r>
      <w:r>
        <w:rPr>
          <w:rtl w:val="0"/>
          <w:lang w:val="en-US"/>
        </w:rPr>
        <w:t>13%</w:t>
      </w:r>
      <w:r>
        <w:rPr>
          <w:rtl w:val="0"/>
          <w:lang w:val="zh-TW" w:eastAsia="zh-TW"/>
        </w:rPr>
        <w:t>。</w:t>
      </w:r>
    </w:p>
    <w:p>
      <w:pPr>
        <w:pStyle w:val="Normal.0"/>
        <w:keepNext w:val="1"/>
      </w:pPr>
      <w:r>
        <w:drawing>
          <wp:inline distT="0" distB="0" distL="0" distR="0">
            <wp:extent cx="5185345" cy="2826588"/>
            <wp:effectExtent l="0" t="0" r="0" b="0"/>
            <wp:docPr id="1073741829" name="officeArt object"/>
            <wp:cNvGraphicFramePr/>
            <a:graphic xmlns:a="http://schemas.openxmlformats.org/drawingml/2006/main">
              <a:graphicData uri="http://schemas.openxmlformats.org/drawingml/2006/chart">
                <c:chart xmlns:c="http://schemas.openxmlformats.org/drawingml/2006/chart" r:id="rId8"/>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5 </w:t>
      </w:r>
      <w:r>
        <w:rPr>
          <w:rFonts w:ascii="黑体" w:cs="黑体" w:hAnsi="黑体" w:eastAsia="黑体"/>
          <w:rtl w:val="0"/>
          <w:lang w:val="zh-TW" w:eastAsia="zh-TW"/>
        </w:rPr>
        <w:t>首次出国留学的年份</w:t>
      </w:r>
    </w:p>
    <w:p>
      <w:pPr>
        <w:pStyle w:val="Normal.0"/>
        <w:ind w:firstLine="420"/>
      </w:pPr>
      <w:r>
        <w:rPr>
          <w:rtl w:val="0"/>
          <w:lang w:val="zh-TW" w:eastAsia="zh-TW"/>
        </w:rPr>
        <w:t>从首次出国前所处教育阶段分布来看，海归群体中本科学历出国留学的占比最高，达到</w:t>
      </w:r>
      <w:r>
        <w:rPr>
          <w:rtl w:val="0"/>
          <w:lang w:val="en-US"/>
        </w:rPr>
        <w:t>51.54%</w:t>
      </w:r>
      <w:r>
        <w:rPr>
          <w:rtl w:val="0"/>
          <w:lang w:val="zh-TW" w:eastAsia="zh-TW"/>
        </w:rPr>
        <w:t>，其次是高中和硕士研究生阶段，占比分别为</w:t>
      </w:r>
      <w:r>
        <w:rPr>
          <w:rtl w:val="0"/>
          <w:lang w:val="en-US"/>
        </w:rPr>
        <w:t>29.79%</w:t>
      </w:r>
      <w:r>
        <w:rPr>
          <w:rtl w:val="0"/>
          <w:lang w:val="zh-TW" w:eastAsia="zh-TW"/>
        </w:rPr>
        <w:t>和</w:t>
      </w:r>
      <w:r>
        <w:rPr>
          <w:rtl w:val="0"/>
          <w:lang w:val="en-US"/>
        </w:rPr>
        <w:t>12.12%</w:t>
      </w:r>
      <w:r>
        <w:rPr>
          <w:rtl w:val="0"/>
          <w:lang w:val="zh-TW" w:eastAsia="zh-TW"/>
        </w:rPr>
        <w:t>。博士研究生、初中和小学及以下阶段占比较小，分别为</w:t>
      </w:r>
      <w:r>
        <w:rPr>
          <w:rtl w:val="0"/>
          <w:lang w:val="en-US"/>
        </w:rPr>
        <w:t>0.67%</w:t>
      </w:r>
      <w:r>
        <w:rPr>
          <w:rtl w:val="0"/>
          <w:lang w:val="zh-TW" w:eastAsia="zh-TW"/>
        </w:rPr>
        <w:t>、</w:t>
      </w:r>
      <w:r>
        <w:rPr>
          <w:rtl w:val="0"/>
          <w:lang w:val="en-US"/>
        </w:rPr>
        <w:t>1.54%</w:t>
      </w:r>
      <w:r>
        <w:rPr>
          <w:rtl w:val="0"/>
          <w:lang w:val="zh-TW" w:eastAsia="zh-TW"/>
        </w:rPr>
        <w:t>和</w:t>
      </w:r>
      <w:r>
        <w:rPr>
          <w:rtl w:val="0"/>
          <w:lang w:val="en-US"/>
        </w:rPr>
        <w:t>1.14%</w:t>
      </w:r>
      <w:r>
        <w:rPr>
          <w:rtl w:val="0"/>
          <w:lang w:val="zh-TW" w:eastAsia="zh-TW"/>
        </w:rPr>
        <w:t>。与</w:t>
      </w:r>
      <w:r>
        <w:rPr>
          <w:rtl w:val="0"/>
          <w:lang w:val="en-US"/>
        </w:rPr>
        <w:t>2017</w:t>
      </w:r>
      <w:r>
        <w:rPr>
          <w:rtl w:val="0"/>
          <w:lang w:val="zh-TW" w:eastAsia="zh-TW"/>
        </w:rPr>
        <w:t>年调查结果相比，</w:t>
      </w:r>
      <w:r>
        <w:rPr>
          <w:rtl w:val="0"/>
          <w:lang w:val="en-US"/>
        </w:rPr>
        <w:t>2018</w:t>
      </w:r>
      <w:r>
        <w:rPr>
          <w:rtl w:val="0"/>
          <w:lang w:val="zh-TW" w:eastAsia="zh-TW"/>
        </w:rPr>
        <w:t>年高中阶段出国留学的比例提高了</w:t>
      </w:r>
      <w:r>
        <w:rPr>
          <w:rtl w:val="0"/>
          <w:lang w:val="en-US"/>
        </w:rPr>
        <w:t>9</w:t>
      </w:r>
      <w:r>
        <w:rPr>
          <w:rtl w:val="0"/>
          <w:lang w:val="zh-TW" w:eastAsia="zh-TW"/>
        </w:rPr>
        <w:t>个百分点，本科和研究生阶段则分别降低了</w:t>
      </w:r>
      <w:r>
        <w:rPr>
          <w:rtl w:val="0"/>
          <w:lang w:val="en-US"/>
        </w:rPr>
        <w:t>4</w:t>
      </w:r>
      <w:r>
        <w:rPr>
          <w:rtl w:val="0"/>
          <w:lang w:val="zh-TW" w:eastAsia="zh-TW"/>
        </w:rPr>
        <w:t>个和</w:t>
      </w:r>
      <w:r>
        <w:rPr>
          <w:rtl w:val="0"/>
          <w:lang w:val="en-US"/>
        </w:rPr>
        <w:t>7</w:t>
      </w:r>
      <w:r>
        <w:rPr>
          <w:rtl w:val="0"/>
          <w:lang w:val="zh-TW" w:eastAsia="zh-TW"/>
        </w:rPr>
        <w:t>个百分点，留学低龄化趋势明显。</w:t>
      </w:r>
    </w:p>
    <w:p>
      <w:pPr>
        <w:pStyle w:val="Normal.0"/>
        <w:keepNext w:val="1"/>
      </w:pPr>
      <w:r>
        <w:drawing>
          <wp:inline distT="0" distB="0" distL="0" distR="0">
            <wp:extent cx="5185345" cy="2826588"/>
            <wp:effectExtent l="0" t="0" r="0" b="0"/>
            <wp:docPr id="1073741830" name="officeArt object"/>
            <wp:cNvGraphicFramePr/>
            <a:graphic xmlns:a="http://schemas.openxmlformats.org/drawingml/2006/main">
              <a:graphicData uri="http://schemas.openxmlformats.org/drawingml/2006/chart">
                <c:chart xmlns:c="http://schemas.openxmlformats.org/drawingml/2006/chart" r:id="rId9"/>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6 </w:t>
      </w:r>
      <w:r>
        <w:rPr>
          <w:rFonts w:ascii="黑体" w:cs="黑体" w:hAnsi="黑体" w:eastAsia="黑体"/>
          <w:rtl w:val="0"/>
          <w:lang w:val="zh-TW" w:eastAsia="zh-TW"/>
        </w:rPr>
        <w:t>首次出国留学前所处的教育阶段</w:t>
      </w:r>
    </w:p>
    <w:p>
      <w:pPr>
        <w:pStyle w:val="Normal.0"/>
        <w:ind w:firstLine="420"/>
      </w:pPr>
      <w:r>
        <w:rPr>
          <w:rtl w:val="0"/>
          <w:lang w:val="zh-TW" w:eastAsia="zh-TW"/>
        </w:rPr>
        <w:t>从最近一次留学国家</w:t>
      </w:r>
      <w:r>
        <w:rPr>
          <w:rtl w:val="0"/>
          <w:lang w:val="en-US"/>
        </w:rPr>
        <w:t>/</w:t>
      </w:r>
      <w:r>
        <w:rPr>
          <w:rtl w:val="0"/>
          <w:lang w:val="zh-TW" w:eastAsia="zh-TW"/>
        </w:rPr>
        <w:t>地区分布占比情况看，英国、美国、澳大利亚、日本和韩国是海归群体留学的主要国家，占比分别为</w:t>
      </w:r>
      <w:r>
        <w:rPr>
          <w:rtl w:val="0"/>
          <w:lang w:val="en-US"/>
        </w:rPr>
        <w:t>19%</w:t>
      </w:r>
      <w:r>
        <w:rPr>
          <w:rtl w:val="0"/>
          <w:lang w:val="zh-TW" w:eastAsia="zh-TW"/>
        </w:rPr>
        <w:t>、</w:t>
      </w:r>
      <w:r>
        <w:rPr>
          <w:rtl w:val="0"/>
          <w:lang w:val="en-US"/>
        </w:rPr>
        <w:t>18%</w:t>
      </w:r>
      <w:r>
        <w:rPr>
          <w:rtl w:val="0"/>
          <w:lang w:val="zh-TW" w:eastAsia="zh-TW"/>
        </w:rPr>
        <w:t>、</w:t>
      </w:r>
      <w:r>
        <w:rPr>
          <w:rtl w:val="0"/>
          <w:lang w:val="en-US"/>
        </w:rPr>
        <w:t>10%</w:t>
      </w:r>
      <w:r>
        <w:rPr>
          <w:rtl w:val="0"/>
          <w:lang w:val="zh-TW" w:eastAsia="zh-TW"/>
        </w:rPr>
        <w:t>、</w:t>
      </w:r>
      <w:r>
        <w:rPr>
          <w:rtl w:val="0"/>
          <w:lang w:val="en-US"/>
        </w:rPr>
        <w:t>10%</w:t>
      </w:r>
      <w:r>
        <w:rPr>
          <w:rtl w:val="0"/>
          <w:lang w:val="zh-TW" w:eastAsia="zh-TW"/>
        </w:rPr>
        <w:t>以及</w:t>
      </w:r>
      <w:r>
        <w:rPr>
          <w:rtl w:val="0"/>
          <w:lang w:val="en-US"/>
        </w:rPr>
        <w:t>8%</w:t>
      </w:r>
      <w:r>
        <w:rPr>
          <w:rtl w:val="0"/>
          <w:lang w:val="zh-TW" w:eastAsia="zh-TW"/>
        </w:rPr>
        <w:t>。此外，加拿大与法国占比接近，分别为</w:t>
      </w:r>
      <w:r>
        <w:rPr>
          <w:rtl w:val="0"/>
          <w:lang w:val="en-US"/>
        </w:rPr>
        <w:t>5%</w:t>
      </w:r>
      <w:r>
        <w:rPr>
          <w:rtl w:val="0"/>
          <w:lang w:val="zh-TW" w:eastAsia="zh-TW"/>
        </w:rPr>
        <w:t>和</w:t>
      </w:r>
      <w:r>
        <w:rPr>
          <w:rtl w:val="0"/>
          <w:lang w:val="en-US"/>
        </w:rPr>
        <w:t>4%</w:t>
      </w:r>
      <w:r>
        <w:rPr>
          <w:rtl w:val="0"/>
          <w:lang w:val="zh-TW" w:eastAsia="zh-TW"/>
        </w:rPr>
        <w:t>。从留学国家男女比例来看，作为主要留学目的国的英国和美国存在较大差异。其中，女性海归更青睐于英国，占比高达</w:t>
      </w:r>
      <w:r>
        <w:rPr>
          <w:rtl w:val="0"/>
          <w:lang w:val="en-US"/>
        </w:rPr>
        <w:t>22%</w:t>
      </w:r>
      <w:r>
        <w:rPr>
          <w:rtl w:val="0"/>
          <w:lang w:val="zh-TW" w:eastAsia="zh-TW"/>
        </w:rPr>
        <w:t>，其次是美国的</w:t>
      </w:r>
      <w:r>
        <w:rPr>
          <w:rtl w:val="0"/>
          <w:lang w:val="en-US"/>
        </w:rPr>
        <w:t>15%</w:t>
      </w:r>
      <w:r>
        <w:rPr>
          <w:rtl w:val="0"/>
          <w:lang w:val="zh-TW" w:eastAsia="zh-TW"/>
        </w:rPr>
        <w:t>；而男性海归这一比例恰恰相反，</w:t>
      </w:r>
      <w:r>
        <w:rPr>
          <w:rtl w:val="0"/>
          <w:lang w:val="en-US"/>
        </w:rPr>
        <w:t>21%</w:t>
      </w:r>
      <w:r>
        <w:rPr>
          <w:rtl w:val="0"/>
          <w:lang w:val="zh-TW" w:eastAsia="zh-TW"/>
        </w:rPr>
        <w:t>的男性最近一次留学国家为美国，而</w:t>
      </w:r>
      <w:r>
        <w:rPr>
          <w:rtl w:val="0"/>
          <w:lang w:val="en-US"/>
        </w:rPr>
        <w:t>15%</w:t>
      </w:r>
      <w:r>
        <w:rPr>
          <w:rtl w:val="0"/>
          <w:lang w:val="zh-TW" w:eastAsia="zh-TW"/>
        </w:rPr>
        <w:t>的男性群体选择赴英国留学。</w:t>
      </w:r>
    </w:p>
    <w:p>
      <w:pPr>
        <w:pStyle w:val="Normal.0"/>
        <w:keepNext w:val="1"/>
      </w:pPr>
      <w:r>
        <w:drawing>
          <wp:inline distT="0" distB="0" distL="0" distR="0">
            <wp:extent cx="5179629" cy="2826588"/>
            <wp:effectExtent l="0" t="0" r="0" b="0"/>
            <wp:docPr id="1073741831" name="officeArt object"/>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7 </w:t>
      </w:r>
      <w:r>
        <w:rPr>
          <w:rFonts w:ascii="黑体" w:cs="黑体" w:hAnsi="黑体" w:eastAsia="黑体"/>
          <w:rtl w:val="0"/>
          <w:lang w:val="zh-TW" w:eastAsia="zh-TW"/>
        </w:rPr>
        <w:t>最近一次留学的国家</w:t>
      </w:r>
      <w:r>
        <w:rPr>
          <w:rtl w:val="0"/>
          <w:lang w:val="en-US"/>
        </w:rPr>
        <w:t>/</w:t>
      </w:r>
      <w:r>
        <w:rPr>
          <w:rFonts w:ascii="黑体" w:cs="黑体" w:hAnsi="黑体" w:eastAsia="黑体"/>
          <w:rtl w:val="0"/>
          <w:lang w:val="zh-TW" w:eastAsia="zh-TW"/>
        </w:rPr>
        <w:t>地区</w:t>
      </w:r>
    </w:p>
    <w:p>
      <w:pPr>
        <w:pStyle w:val="Normal.0"/>
        <w:ind w:firstLine="420"/>
      </w:pPr>
      <w:r>
        <w:rPr>
          <w:rtl w:val="0"/>
          <w:lang w:val="zh-TW" w:eastAsia="zh-TW"/>
        </w:rPr>
        <w:t>在最近一次留学中的主修科目中，经济学与商学类占比最高，达到</w:t>
      </w:r>
      <w:r>
        <w:rPr>
          <w:rtl w:val="0"/>
          <w:lang w:val="en-US"/>
        </w:rPr>
        <w:t>43%</w:t>
      </w:r>
      <w:r>
        <w:rPr>
          <w:rtl w:val="0"/>
          <w:lang w:val="zh-TW" w:eastAsia="zh-TW"/>
        </w:rPr>
        <w:t>。其次，分别是艺术与人文科学（</w:t>
      </w:r>
      <w:r>
        <w:rPr>
          <w:rtl w:val="0"/>
          <w:lang w:val="en-US"/>
        </w:rPr>
        <w:t>14%</w:t>
      </w:r>
      <w:r>
        <w:rPr>
          <w:rtl w:val="0"/>
          <w:lang w:val="zh-TW" w:eastAsia="zh-TW"/>
        </w:rPr>
        <w:t>）、工程学（</w:t>
      </w:r>
      <w:r>
        <w:rPr>
          <w:rtl w:val="0"/>
          <w:lang w:val="en-US"/>
        </w:rPr>
        <w:t>10%</w:t>
      </w:r>
      <w:r>
        <w:rPr>
          <w:rtl w:val="0"/>
          <w:lang w:val="zh-TW" w:eastAsia="zh-TW"/>
        </w:rPr>
        <w:t>）、计算机科学（</w:t>
      </w:r>
      <w:r>
        <w:rPr>
          <w:rtl w:val="0"/>
          <w:lang w:val="en-US"/>
        </w:rPr>
        <w:t>5%</w:t>
      </w:r>
      <w:r>
        <w:rPr>
          <w:rtl w:val="0"/>
          <w:lang w:val="zh-TW" w:eastAsia="zh-TW"/>
        </w:rPr>
        <w:t>）、管理学（</w:t>
      </w:r>
      <w:r>
        <w:rPr>
          <w:rtl w:val="0"/>
          <w:lang w:val="en-US"/>
        </w:rPr>
        <w:t>5%</w:t>
      </w:r>
      <w:r>
        <w:rPr>
          <w:rtl w:val="0"/>
          <w:lang w:val="zh-TW" w:eastAsia="zh-TW"/>
        </w:rPr>
        <w:t>）、社会科学与公共卫生学（</w:t>
      </w:r>
      <w:r>
        <w:rPr>
          <w:rtl w:val="0"/>
          <w:lang w:val="en-US"/>
        </w:rPr>
        <w:t>4%</w:t>
      </w:r>
      <w:r>
        <w:rPr>
          <w:rtl w:val="0"/>
          <w:lang w:val="zh-TW" w:eastAsia="zh-TW"/>
        </w:rPr>
        <w:t>）、及语言学（</w:t>
      </w:r>
      <w:r>
        <w:rPr>
          <w:rtl w:val="0"/>
          <w:lang w:val="en-US"/>
        </w:rPr>
        <w:t>3%</w:t>
      </w:r>
      <w:r>
        <w:rPr>
          <w:rtl w:val="0"/>
          <w:lang w:val="zh-TW" w:eastAsia="zh-TW"/>
        </w:rPr>
        <w:t>）。在主修科目的数据中，除经济学与商学类男女比例接近之外，其他主修科目因文理区分在男女比例的分布上差异明显，文科类专业（如艺术与人文科学、语言学等）女性占比高于男性，而在理工科类专业上则男性比例较高。</w:t>
      </w:r>
    </w:p>
    <w:p>
      <w:pPr>
        <w:pStyle w:val="Normal.0"/>
        <w:keepNext w:val="1"/>
      </w:pPr>
      <w:r>
        <w:drawing>
          <wp:inline distT="0" distB="0" distL="0" distR="0">
            <wp:extent cx="5185345" cy="3847912"/>
            <wp:effectExtent l="0" t="0" r="0" b="0"/>
            <wp:docPr id="1073741832" name="officeArt object"/>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8 </w:t>
      </w:r>
      <w:r>
        <w:rPr>
          <w:rFonts w:ascii="黑体" w:cs="黑体" w:hAnsi="黑体" w:eastAsia="黑体"/>
          <w:rtl w:val="0"/>
          <w:lang w:val="zh-TW" w:eastAsia="zh-TW"/>
        </w:rPr>
        <w:t>最近一次留学的主修学科</w:t>
      </w:r>
    </w:p>
    <w:p>
      <w:pPr>
        <w:pStyle w:val="Normal.0"/>
        <w:ind w:firstLine="420"/>
      </w:pPr>
      <w:r>
        <w:rPr>
          <w:rtl w:val="0"/>
          <w:lang w:val="zh-TW" w:eastAsia="zh-TW"/>
        </w:rPr>
        <w:t>在海外获得最高学位</w:t>
      </w:r>
      <w:r>
        <w:rPr>
          <w:rtl w:val="0"/>
          <w:lang w:val="en-US"/>
        </w:rPr>
        <w:t>/</w:t>
      </w:r>
      <w:r>
        <w:rPr>
          <w:rtl w:val="0"/>
          <w:lang w:val="zh-TW" w:eastAsia="zh-TW"/>
        </w:rPr>
        <w:t>学历中，海归群体获得硕士学位的占比最高，达到</w:t>
      </w:r>
      <w:r>
        <w:rPr>
          <w:rtl w:val="0"/>
          <w:lang w:val="en-US"/>
        </w:rPr>
        <w:t>56%</w:t>
      </w:r>
      <w:r>
        <w:rPr>
          <w:rtl w:val="0"/>
          <w:lang w:val="zh-TW" w:eastAsia="zh-TW"/>
        </w:rPr>
        <w:t>，其次是学士学位，占比</w:t>
      </w:r>
      <w:r>
        <w:rPr>
          <w:rtl w:val="0"/>
          <w:lang w:val="en-US"/>
        </w:rPr>
        <w:t>38%</w:t>
      </w:r>
      <w:r>
        <w:rPr>
          <w:rtl w:val="0"/>
          <w:lang w:val="zh-TW" w:eastAsia="zh-TW"/>
        </w:rPr>
        <w:t>。此外，博士学位、专科和其他占比均在</w:t>
      </w:r>
      <w:r>
        <w:rPr>
          <w:rtl w:val="0"/>
          <w:lang w:val="en-US"/>
        </w:rPr>
        <w:t>2%</w:t>
      </w:r>
      <w:r>
        <w:rPr>
          <w:rtl w:val="0"/>
          <w:lang w:val="zh-TW" w:eastAsia="zh-TW"/>
        </w:rPr>
        <w:t>左右。在获得学位</w:t>
      </w:r>
      <w:r>
        <w:rPr>
          <w:rtl w:val="0"/>
          <w:lang w:val="en-US"/>
        </w:rPr>
        <w:t>/</w:t>
      </w:r>
      <w:r>
        <w:rPr>
          <w:rtl w:val="0"/>
          <w:lang w:val="zh-TW" w:eastAsia="zh-TW"/>
        </w:rPr>
        <w:t>学历层次的男女占比分布上，学士与博士学位男性比例较高，硕士学位女性比例略高于男性。相比</w:t>
      </w:r>
      <w:r>
        <w:rPr>
          <w:rtl w:val="0"/>
          <w:lang w:val="en-US"/>
        </w:rPr>
        <w:t>2017</w:t>
      </w:r>
      <w:r>
        <w:rPr>
          <w:rtl w:val="0"/>
          <w:lang w:val="zh-TW" w:eastAsia="zh-TW"/>
        </w:rPr>
        <w:t>年调查结果，获得学士学位的海归比例上升了</w:t>
      </w:r>
      <w:r>
        <w:rPr>
          <w:rtl w:val="0"/>
          <w:lang w:val="en-US"/>
        </w:rPr>
        <w:t>7</w:t>
      </w:r>
      <w:r>
        <w:rPr>
          <w:rtl w:val="0"/>
          <w:lang w:val="zh-TW" w:eastAsia="zh-TW"/>
        </w:rPr>
        <w:t>个百分点，获得硕士学位的比例则下降了</w:t>
      </w:r>
      <w:r>
        <w:rPr>
          <w:rtl w:val="0"/>
          <w:lang w:val="en-US"/>
        </w:rPr>
        <w:t>6</w:t>
      </w:r>
      <w:r>
        <w:rPr>
          <w:rtl w:val="0"/>
          <w:lang w:val="zh-TW" w:eastAsia="zh-TW"/>
        </w:rPr>
        <w:t>个百分点，出国读取本科的留学生越来越多。</w:t>
      </w:r>
    </w:p>
    <w:p>
      <w:pPr>
        <w:pStyle w:val="Normal.0"/>
        <w:keepNext w:val="1"/>
      </w:pPr>
      <w:r>
        <w:drawing>
          <wp:inline distT="0" distB="0" distL="0" distR="0">
            <wp:extent cx="5185345" cy="2826588"/>
            <wp:effectExtent l="0" t="0" r="0" b="0"/>
            <wp:docPr id="1073741833" name="officeArt object"/>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9 </w:t>
      </w:r>
      <w:r>
        <w:rPr>
          <w:rFonts w:ascii="黑体" w:cs="黑体" w:hAnsi="黑体" w:eastAsia="黑体"/>
          <w:rtl w:val="0"/>
          <w:lang w:val="zh-TW" w:eastAsia="zh-TW"/>
        </w:rPr>
        <w:t>在海外所获得的最高学位</w:t>
      </w:r>
      <w:r>
        <w:rPr>
          <w:rtl w:val="0"/>
          <w:lang w:val="en-US"/>
        </w:rPr>
        <w:t>/</w:t>
      </w:r>
      <w:r>
        <w:rPr>
          <w:rFonts w:ascii="黑体" w:cs="黑体" w:hAnsi="黑体" w:eastAsia="黑体"/>
          <w:rtl w:val="0"/>
          <w:lang w:val="zh-TW" w:eastAsia="zh-TW"/>
        </w:rPr>
        <w:t>学历</w:t>
      </w:r>
    </w:p>
    <w:p>
      <w:pPr>
        <w:pStyle w:val="Normal.0"/>
        <w:ind w:firstLine="420"/>
      </w:pPr>
      <w:r>
        <w:rPr>
          <w:rtl w:val="0"/>
          <w:lang w:val="zh-TW" w:eastAsia="zh-TW"/>
        </w:rPr>
        <w:t>对于</w:t>
      </w:r>
      <w:r>
        <w:rPr>
          <w:rtl w:val="0"/>
          <w:lang w:val="en-US"/>
        </w:rPr>
        <w:t>“</w:t>
      </w:r>
      <w:r>
        <w:rPr>
          <w:rtl w:val="0"/>
          <w:lang w:val="zh-TW" w:eastAsia="zh-TW"/>
        </w:rPr>
        <w:t>留学后的收获是否实现了预期</w:t>
      </w:r>
      <w:r>
        <w:rPr>
          <w:rtl w:val="0"/>
          <w:lang w:val="en-US"/>
        </w:rPr>
        <w:t>”</w:t>
      </w:r>
      <w:r>
        <w:rPr>
          <w:rtl w:val="0"/>
          <w:lang w:val="zh-TW" w:eastAsia="zh-TW"/>
        </w:rPr>
        <w:t>这一问题，海归群体中接近一半的人持肯定态度。调查发现，分别有</w:t>
      </w:r>
      <w:r>
        <w:rPr>
          <w:rtl w:val="0"/>
          <w:lang w:val="en-US"/>
        </w:rPr>
        <w:t>34%</w:t>
      </w:r>
      <w:r>
        <w:rPr>
          <w:rtl w:val="0"/>
          <w:lang w:val="zh-TW" w:eastAsia="zh-TW"/>
        </w:rPr>
        <w:t>和</w:t>
      </w:r>
      <w:r>
        <w:rPr>
          <w:rtl w:val="0"/>
          <w:lang w:val="en-US"/>
        </w:rPr>
        <w:t>11%</w:t>
      </w:r>
      <w:r>
        <w:rPr>
          <w:rtl w:val="0"/>
          <w:lang w:val="zh-TW" w:eastAsia="zh-TW"/>
        </w:rPr>
        <w:t>的受访者选择</w:t>
      </w:r>
      <w:r>
        <w:rPr>
          <w:rtl w:val="0"/>
          <w:lang w:val="en-US"/>
        </w:rPr>
        <w:t>“</w:t>
      </w:r>
      <w:r>
        <w:rPr>
          <w:rtl w:val="0"/>
          <w:lang w:val="zh-TW" w:eastAsia="zh-TW"/>
        </w:rPr>
        <w:t>收获高于预期</w:t>
      </w:r>
      <w:r>
        <w:rPr>
          <w:rtl w:val="0"/>
          <w:lang w:val="en-US"/>
        </w:rPr>
        <w:t>”</w:t>
      </w:r>
      <w:r>
        <w:rPr>
          <w:rtl w:val="0"/>
          <w:lang w:val="zh-TW" w:eastAsia="zh-TW"/>
        </w:rPr>
        <w:t>和</w:t>
      </w:r>
      <w:r>
        <w:rPr>
          <w:rtl w:val="0"/>
          <w:lang w:val="en-US"/>
        </w:rPr>
        <w:t>“</w:t>
      </w:r>
      <w:r>
        <w:rPr>
          <w:rtl w:val="0"/>
          <w:lang w:val="zh-TW" w:eastAsia="zh-TW"/>
        </w:rPr>
        <w:t>收获远高于预期</w:t>
      </w:r>
      <w:r>
        <w:rPr>
          <w:rtl w:val="0"/>
          <w:lang w:val="en-US"/>
        </w:rPr>
        <w:t>”</w:t>
      </w:r>
      <w:r>
        <w:rPr>
          <w:rtl w:val="0"/>
          <w:lang w:val="zh-TW" w:eastAsia="zh-TW"/>
        </w:rPr>
        <w:t>，留学收获达到预期的比例为</w:t>
      </w:r>
      <w:r>
        <w:rPr>
          <w:rtl w:val="0"/>
          <w:lang w:val="en-US"/>
        </w:rPr>
        <w:t>45%</w:t>
      </w:r>
      <w:r>
        <w:rPr>
          <w:rtl w:val="0"/>
          <w:lang w:val="zh-TW" w:eastAsia="zh-TW"/>
        </w:rPr>
        <w:t>；另有</w:t>
      </w:r>
      <w:r>
        <w:rPr>
          <w:rtl w:val="0"/>
          <w:lang w:val="en-US"/>
        </w:rPr>
        <w:t>28%</w:t>
      </w:r>
      <w:r>
        <w:rPr>
          <w:rtl w:val="0"/>
          <w:lang w:val="zh-TW" w:eastAsia="zh-TW"/>
        </w:rPr>
        <w:t>和</w:t>
      </w:r>
      <w:r>
        <w:rPr>
          <w:rtl w:val="0"/>
          <w:lang w:val="en-US"/>
        </w:rPr>
        <w:t>8%</w:t>
      </w:r>
      <w:r>
        <w:rPr>
          <w:rtl w:val="0"/>
          <w:lang w:val="zh-TW" w:eastAsia="zh-TW"/>
        </w:rPr>
        <w:t>的受访者认为</w:t>
      </w:r>
      <w:r>
        <w:rPr>
          <w:rtl w:val="0"/>
          <w:lang w:val="en-US"/>
        </w:rPr>
        <w:t>“</w:t>
      </w:r>
      <w:r>
        <w:rPr>
          <w:rtl w:val="0"/>
          <w:lang w:val="zh-TW" w:eastAsia="zh-TW"/>
        </w:rPr>
        <w:t>收获低于预期</w:t>
      </w:r>
      <w:r>
        <w:rPr>
          <w:rtl w:val="0"/>
          <w:lang w:val="en-US"/>
        </w:rPr>
        <w:t>”</w:t>
      </w:r>
      <w:r>
        <w:rPr>
          <w:rtl w:val="0"/>
          <w:lang w:val="zh-TW" w:eastAsia="zh-TW"/>
        </w:rPr>
        <w:t>和</w:t>
      </w:r>
      <w:r>
        <w:rPr>
          <w:rtl w:val="0"/>
          <w:lang w:val="en-US"/>
        </w:rPr>
        <w:t>“</w:t>
      </w:r>
      <w:r>
        <w:rPr>
          <w:rtl w:val="0"/>
          <w:lang w:val="zh-TW" w:eastAsia="zh-TW"/>
        </w:rPr>
        <w:t>收获远低于预期</w:t>
      </w:r>
      <w:r>
        <w:rPr>
          <w:rtl w:val="0"/>
          <w:lang w:val="en-US"/>
        </w:rPr>
        <w:t>”</w:t>
      </w:r>
      <w:r>
        <w:rPr>
          <w:rtl w:val="0"/>
          <w:lang w:val="zh-TW" w:eastAsia="zh-TW"/>
        </w:rPr>
        <w:t>，留学收获未达到预期的比例达</w:t>
      </w:r>
      <w:r>
        <w:rPr>
          <w:rtl w:val="0"/>
          <w:lang w:val="en-US"/>
        </w:rPr>
        <w:t>35%</w:t>
      </w:r>
      <w:r>
        <w:rPr>
          <w:rtl w:val="0"/>
          <w:lang w:val="zh-TW" w:eastAsia="zh-TW"/>
        </w:rPr>
        <w:t>；还有</w:t>
      </w:r>
      <w:r>
        <w:rPr>
          <w:rtl w:val="0"/>
          <w:lang w:val="en-US"/>
        </w:rPr>
        <w:t>20%</w:t>
      </w:r>
      <w:r>
        <w:rPr>
          <w:rtl w:val="0"/>
          <w:lang w:val="zh-TW" w:eastAsia="zh-TW"/>
        </w:rPr>
        <w:t>的受访者对留学收获是否达到预期则表示</w:t>
      </w:r>
      <w:r>
        <w:rPr>
          <w:rtl w:val="0"/>
          <w:lang w:val="en-US"/>
        </w:rPr>
        <w:t>“</w:t>
      </w:r>
      <w:r>
        <w:rPr>
          <w:rtl w:val="0"/>
          <w:lang w:val="zh-TW" w:eastAsia="zh-TW"/>
        </w:rPr>
        <w:t>不清楚</w:t>
      </w:r>
      <w:r>
        <w:rPr>
          <w:rtl w:val="0"/>
          <w:lang w:val="en-US"/>
        </w:rPr>
        <w:t>”</w:t>
      </w:r>
      <w:r>
        <w:rPr>
          <w:rtl w:val="0"/>
          <w:lang w:val="zh-TW" w:eastAsia="zh-TW"/>
        </w:rPr>
        <w:t>。</w:t>
      </w:r>
    </w:p>
    <w:p>
      <w:pPr>
        <w:pStyle w:val="Normal.0"/>
        <w:keepNext w:val="1"/>
      </w:pPr>
      <w:r>
        <w:drawing>
          <wp:inline distT="0" distB="0" distL="0" distR="0">
            <wp:extent cx="5185345" cy="2826588"/>
            <wp:effectExtent l="0" t="0" r="0" b="0"/>
            <wp:docPr id="1073741834" name="officeArt object"/>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10 </w:t>
      </w:r>
      <w:r>
        <w:rPr>
          <w:rFonts w:ascii="黑体" w:cs="黑体" w:hAnsi="黑体" w:eastAsia="黑体"/>
          <w:rtl w:val="0"/>
          <w:lang w:val="zh-TW" w:eastAsia="zh-TW"/>
        </w:rPr>
        <w:t>对留学收益的评价</w:t>
      </w:r>
    </w:p>
    <w:p>
      <w:pPr>
        <w:pStyle w:val="heading 2"/>
        <w:rPr>
          <w:lang w:val="zh-TW" w:eastAsia="zh-TW"/>
        </w:rPr>
      </w:pPr>
      <w:r>
        <w:rPr>
          <w:rtl w:val="0"/>
          <w:lang w:val="zh-TW" w:eastAsia="zh-TW"/>
        </w:rPr>
        <w:t>（二）个人发展：海归群体中多数人在海外具有一定的实习或工作经验；在海外具有创业经验的人相对较少。</w:t>
      </w:r>
    </w:p>
    <w:p>
      <w:pPr>
        <w:pStyle w:val="Normal.0"/>
        <w:ind w:firstLine="420"/>
      </w:pPr>
      <w:r>
        <w:rPr>
          <w:rtl w:val="0"/>
          <w:lang w:val="zh-TW" w:eastAsia="zh-TW"/>
        </w:rPr>
        <w:t>从海外实习经验情况看，海归群体中具有海外实习经验的达到六成，剩余</w:t>
      </w:r>
      <w:r>
        <w:rPr>
          <w:rtl w:val="0"/>
          <w:lang w:val="en-US"/>
        </w:rPr>
        <w:t>40%</w:t>
      </w:r>
      <w:r>
        <w:rPr>
          <w:rtl w:val="0"/>
          <w:lang w:val="zh-TW" w:eastAsia="zh-TW"/>
        </w:rPr>
        <w:t>的人没有海外实习经验。其中，有</w:t>
      </w:r>
      <w:r>
        <w:rPr>
          <w:rtl w:val="0"/>
          <w:lang w:val="en-US"/>
        </w:rPr>
        <w:t>“</w:t>
      </w:r>
      <w:r>
        <w:rPr>
          <w:rtl w:val="0"/>
          <w:lang w:val="en-US"/>
        </w:rPr>
        <w:t>1-3</w:t>
      </w:r>
      <w:r>
        <w:rPr>
          <w:rtl w:val="0"/>
          <w:lang w:val="zh-TW" w:eastAsia="zh-TW"/>
        </w:rPr>
        <w:t>个月</w:t>
      </w:r>
      <w:r>
        <w:rPr>
          <w:rtl w:val="0"/>
          <w:lang w:val="en-US"/>
        </w:rPr>
        <w:t>”</w:t>
      </w:r>
      <w:r>
        <w:rPr>
          <w:rtl w:val="0"/>
          <w:lang w:val="zh-TW" w:eastAsia="zh-TW"/>
        </w:rPr>
        <w:t>实习经验及</w:t>
      </w:r>
      <w:r>
        <w:rPr>
          <w:rtl w:val="0"/>
          <w:lang w:val="en-US"/>
        </w:rPr>
        <w:t>“</w:t>
      </w:r>
      <w:r>
        <w:rPr>
          <w:rtl w:val="0"/>
          <w:lang w:val="zh-TW" w:eastAsia="zh-TW"/>
        </w:rPr>
        <w:t>一年以上</w:t>
      </w:r>
      <w:r>
        <w:rPr>
          <w:rtl w:val="0"/>
          <w:lang w:val="en-US"/>
        </w:rPr>
        <w:t>”</w:t>
      </w:r>
      <w:r>
        <w:rPr>
          <w:rtl w:val="0"/>
          <w:lang w:val="zh-TW" w:eastAsia="zh-TW"/>
        </w:rPr>
        <w:t>实习经验，占比大体相当，分别为</w:t>
      </w:r>
      <w:r>
        <w:rPr>
          <w:rtl w:val="0"/>
          <w:lang w:val="en-US"/>
        </w:rPr>
        <w:t>20%</w:t>
      </w:r>
      <w:r>
        <w:rPr>
          <w:rtl w:val="0"/>
          <w:lang w:val="zh-TW" w:eastAsia="zh-TW"/>
        </w:rPr>
        <w:t>和</w:t>
      </w:r>
      <w:r>
        <w:rPr>
          <w:rtl w:val="0"/>
          <w:lang w:val="en-US"/>
        </w:rPr>
        <w:t>19%</w:t>
      </w:r>
      <w:r>
        <w:rPr>
          <w:rtl w:val="0"/>
          <w:lang w:val="zh-TW" w:eastAsia="zh-TW"/>
        </w:rPr>
        <w:t>。此外</w:t>
      </w:r>
      <w:r>
        <w:rPr>
          <w:rtl w:val="0"/>
          <w:lang w:val="en-US"/>
        </w:rPr>
        <w:t>“</w:t>
      </w:r>
      <w:r>
        <w:rPr>
          <w:rtl w:val="0"/>
          <w:lang w:val="en-US"/>
        </w:rPr>
        <w:t>4-6</w:t>
      </w:r>
      <w:r>
        <w:rPr>
          <w:rtl w:val="0"/>
          <w:lang w:val="zh-TW" w:eastAsia="zh-TW"/>
        </w:rPr>
        <w:t>个月</w:t>
      </w:r>
      <w:r>
        <w:rPr>
          <w:rtl w:val="0"/>
          <w:lang w:val="en-US"/>
        </w:rPr>
        <w:t>”</w:t>
      </w:r>
      <w:r>
        <w:rPr>
          <w:rtl w:val="0"/>
          <w:lang w:val="zh-TW" w:eastAsia="zh-TW"/>
        </w:rPr>
        <w:t>占比</w:t>
      </w:r>
      <w:r>
        <w:rPr>
          <w:rtl w:val="0"/>
          <w:lang w:val="en-US"/>
        </w:rPr>
        <w:t>13%</w:t>
      </w:r>
      <w:r>
        <w:rPr>
          <w:rtl w:val="0"/>
          <w:lang w:val="zh-TW" w:eastAsia="zh-TW"/>
        </w:rPr>
        <w:t>，</w:t>
      </w:r>
      <w:r>
        <w:rPr>
          <w:rtl w:val="0"/>
          <w:lang w:val="en-US"/>
        </w:rPr>
        <w:t>“</w:t>
      </w:r>
      <w:r>
        <w:rPr>
          <w:rtl w:val="0"/>
          <w:lang w:val="en-US"/>
        </w:rPr>
        <w:t>7-12</w:t>
      </w:r>
      <w:r>
        <w:rPr>
          <w:rtl w:val="0"/>
          <w:lang w:val="zh-TW" w:eastAsia="zh-TW"/>
        </w:rPr>
        <w:t>个月</w:t>
      </w:r>
      <w:r>
        <w:rPr>
          <w:rtl w:val="0"/>
          <w:lang w:val="en-US"/>
        </w:rPr>
        <w:t>”</w:t>
      </w:r>
      <w:r>
        <w:rPr>
          <w:rtl w:val="0"/>
          <w:lang w:val="zh-TW" w:eastAsia="zh-TW"/>
        </w:rPr>
        <w:t>占比</w:t>
      </w:r>
      <w:r>
        <w:rPr>
          <w:rtl w:val="0"/>
          <w:lang w:val="en-US"/>
        </w:rPr>
        <w:t>8%</w:t>
      </w:r>
      <w:r>
        <w:rPr>
          <w:rtl w:val="0"/>
          <w:lang w:val="zh-TW" w:eastAsia="zh-TW"/>
        </w:rPr>
        <w:t>。在实习经验的男女比例分布上，女性海归更多拥有短期实习经验（</w:t>
      </w:r>
      <w:r>
        <w:rPr>
          <w:rtl w:val="0"/>
          <w:lang w:val="en-US"/>
        </w:rPr>
        <w:t>3</w:t>
      </w:r>
      <w:r>
        <w:rPr>
          <w:rtl w:val="0"/>
          <w:lang w:val="zh-TW" w:eastAsia="zh-TW"/>
        </w:rPr>
        <w:t>个月及以下），而男性则更多拥有较长期的实习经验（</w:t>
      </w:r>
      <w:r>
        <w:rPr>
          <w:rtl w:val="0"/>
          <w:lang w:val="en-US"/>
        </w:rPr>
        <w:t>4</w:t>
      </w:r>
      <w:r>
        <w:rPr>
          <w:rtl w:val="0"/>
          <w:lang w:val="zh-TW" w:eastAsia="zh-TW"/>
        </w:rPr>
        <w:t>个月及以上）。</w:t>
      </w:r>
    </w:p>
    <w:p>
      <w:pPr>
        <w:pStyle w:val="Normal.0"/>
        <w:keepNext w:val="1"/>
      </w:pPr>
      <w:r>
        <w:drawing>
          <wp:inline distT="0" distB="0" distL="0" distR="0">
            <wp:extent cx="5185345" cy="2826588"/>
            <wp:effectExtent l="0" t="0" r="0" b="0"/>
            <wp:docPr id="1073741835" name="officeArt object"/>
            <wp:cNvGraphicFramePr/>
            <a:graphic xmlns:a="http://schemas.openxmlformats.org/drawingml/2006/main">
              <a:graphicData uri="http://schemas.openxmlformats.org/drawingml/2006/chart">
                <c:chart xmlns:c="http://schemas.openxmlformats.org/drawingml/2006/chart" r:id="rId14"/>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11 </w:t>
      </w:r>
      <w:r>
        <w:rPr>
          <w:rFonts w:ascii="黑体" w:cs="黑体" w:hAnsi="黑体" w:eastAsia="黑体"/>
          <w:rtl w:val="0"/>
          <w:lang w:val="zh-TW" w:eastAsia="zh-TW"/>
        </w:rPr>
        <w:t>海外实习情况</w:t>
      </w:r>
    </w:p>
    <w:p>
      <w:pPr>
        <w:pStyle w:val="Normal.0"/>
        <w:ind w:firstLine="420"/>
      </w:pPr>
      <w:r>
        <w:rPr>
          <w:rtl w:val="0"/>
          <w:lang w:val="zh-TW" w:eastAsia="zh-TW"/>
        </w:rPr>
        <w:t>在海外工作经验分布情况方面，海归群体中近七成具有一定的海外工作经验，没有海外工作经验的占三成。其中，具有</w:t>
      </w:r>
      <w:r>
        <w:rPr>
          <w:rtl w:val="0"/>
          <w:lang w:val="en-US"/>
        </w:rPr>
        <w:t>“</w:t>
      </w:r>
      <w:r>
        <w:rPr>
          <w:rtl w:val="0"/>
          <w:lang w:val="en-US"/>
        </w:rPr>
        <w:t>1-3</w:t>
      </w:r>
      <w:r>
        <w:rPr>
          <w:rtl w:val="0"/>
          <w:lang w:val="zh-TW" w:eastAsia="zh-TW"/>
        </w:rPr>
        <w:t>年以下</w:t>
      </w:r>
      <w:r>
        <w:rPr>
          <w:rtl w:val="0"/>
          <w:lang w:val="en-US"/>
        </w:rPr>
        <w:t>”</w:t>
      </w:r>
      <w:r>
        <w:rPr>
          <w:rtl w:val="0"/>
          <w:lang w:val="zh-TW" w:eastAsia="zh-TW"/>
        </w:rPr>
        <w:t>海外工作经验的占比</w:t>
      </w:r>
      <w:r>
        <w:rPr>
          <w:rtl w:val="0"/>
          <w:lang w:val="en-US"/>
        </w:rPr>
        <w:t>23%</w:t>
      </w:r>
      <w:r>
        <w:rPr>
          <w:rtl w:val="0"/>
          <w:lang w:val="zh-TW" w:eastAsia="zh-TW"/>
        </w:rPr>
        <w:t>，与</w:t>
      </w:r>
      <w:r>
        <w:rPr>
          <w:rtl w:val="0"/>
          <w:lang w:val="en-US"/>
        </w:rPr>
        <w:t>2017</w:t>
      </w:r>
      <w:r>
        <w:rPr>
          <w:rtl w:val="0"/>
          <w:lang w:val="zh-TW" w:eastAsia="zh-TW"/>
        </w:rPr>
        <w:t>年的调查结果相比提高了</w:t>
      </w:r>
      <w:r>
        <w:rPr>
          <w:rtl w:val="0"/>
          <w:lang w:val="en-US"/>
        </w:rPr>
        <w:t>5</w:t>
      </w:r>
      <w:r>
        <w:rPr>
          <w:rtl w:val="0"/>
          <w:lang w:val="zh-TW" w:eastAsia="zh-TW"/>
        </w:rPr>
        <w:t>个百分点；</w:t>
      </w:r>
      <w:r>
        <w:rPr>
          <w:rtl w:val="0"/>
          <w:lang w:val="en-US"/>
        </w:rPr>
        <w:t>“</w:t>
      </w:r>
      <w:r>
        <w:rPr>
          <w:rtl w:val="0"/>
          <w:lang w:val="zh-TW" w:eastAsia="zh-TW"/>
        </w:rPr>
        <w:t>半年</w:t>
      </w:r>
      <w:r>
        <w:rPr>
          <w:rtl w:val="0"/>
          <w:lang w:val="en-US"/>
        </w:rPr>
        <w:t>-1</w:t>
      </w:r>
      <w:r>
        <w:rPr>
          <w:rtl w:val="0"/>
          <w:lang w:val="zh-TW" w:eastAsia="zh-TW"/>
        </w:rPr>
        <w:t>年</w:t>
      </w:r>
      <w:r>
        <w:rPr>
          <w:rtl w:val="0"/>
          <w:lang w:val="en-US"/>
        </w:rPr>
        <w:t>”</w:t>
      </w:r>
      <w:r>
        <w:rPr>
          <w:rtl w:val="0"/>
          <w:lang w:val="zh-TW" w:eastAsia="zh-TW"/>
        </w:rPr>
        <w:t>占比</w:t>
      </w:r>
      <w:r>
        <w:rPr>
          <w:rtl w:val="0"/>
          <w:lang w:val="en-US"/>
        </w:rPr>
        <w:t>17%</w:t>
      </w:r>
      <w:r>
        <w:rPr>
          <w:rtl w:val="0"/>
          <w:lang w:val="zh-TW" w:eastAsia="zh-TW"/>
        </w:rPr>
        <w:t>，</w:t>
      </w:r>
      <w:r>
        <w:rPr>
          <w:rtl w:val="0"/>
          <w:lang w:val="en-US"/>
        </w:rPr>
        <w:t>“</w:t>
      </w:r>
      <w:r>
        <w:rPr>
          <w:rtl w:val="0"/>
          <w:lang w:val="zh-TW" w:eastAsia="zh-TW"/>
        </w:rPr>
        <w:t>半年以下</w:t>
      </w:r>
      <w:r>
        <w:rPr>
          <w:rtl w:val="0"/>
          <w:lang w:val="en-US"/>
        </w:rPr>
        <w:t>”</w:t>
      </w:r>
      <w:r>
        <w:rPr>
          <w:rtl w:val="0"/>
          <w:lang w:val="en-US"/>
        </w:rPr>
        <w:t>14%</w:t>
      </w:r>
      <w:r>
        <w:rPr>
          <w:rtl w:val="0"/>
          <w:lang w:val="zh-TW" w:eastAsia="zh-TW"/>
        </w:rPr>
        <w:t>。拥有三年以上较长海外工作经验者占比较少，</w:t>
      </w:r>
      <w:r>
        <w:rPr>
          <w:rtl w:val="0"/>
          <w:lang w:val="en-US"/>
        </w:rPr>
        <w:t>“</w:t>
      </w:r>
      <w:r>
        <w:rPr>
          <w:rtl w:val="0"/>
          <w:lang w:val="en-US"/>
        </w:rPr>
        <w:t>3-6</w:t>
      </w:r>
      <w:r>
        <w:rPr>
          <w:rtl w:val="0"/>
          <w:lang w:val="zh-TW" w:eastAsia="zh-TW"/>
        </w:rPr>
        <w:t>年</w:t>
      </w:r>
      <w:r>
        <w:rPr>
          <w:rtl w:val="0"/>
          <w:lang w:val="en-US"/>
        </w:rPr>
        <w:t>”</w:t>
      </w:r>
      <w:r>
        <w:rPr>
          <w:rtl w:val="0"/>
          <w:lang w:val="zh-TW" w:eastAsia="zh-TW"/>
        </w:rPr>
        <w:t>占比</w:t>
      </w:r>
      <w:r>
        <w:rPr>
          <w:rtl w:val="0"/>
          <w:lang w:val="en-US"/>
        </w:rPr>
        <w:t>11%</w:t>
      </w:r>
      <w:r>
        <w:rPr>
          <w:rtl w:val="0"/>
          <w:lang w:val="zh-TW" w:eastAsia="zh-TW"/>
        </w:rPr>
        <w:t>，较</w:t>
      </w:r>
      <w:r>
        <w:rPr>
          <w:rtl w:val="0"/>
          <w:lang w:val="en-US"/>
        </w:rPr>
        <w:t>2017</w:t>
      </w:r>
      <w:r>
        <w:rPr>
          <w:rtl w:val="0"/>
          <w:lang w:val="zh-TW" w:eastAsia="zh-TW"/>
        </w:rPr>
        <w:t>年提高了</w:t>
      </w:r>
      <w:r>
        <w:rPr>
          <w:rtl w:val="0"/>
          <w:lang w:val="en-US"/>
        </w:rPr>
        <w:t>5</w:t>
      </w:r>
      <w:r>
        <w:rPr>
          <w:rtl w:val="0"/>
          <w:lang w:val="zh-TW" w:eastAsia="zh-TW"/>
        </w:rPr>
        <w:t>个百分点，</w:t>
      </w:r>
      <w:r>
        <w:rPr>
          <w:rtl w:val="0"/>
          <w:lang w:val="en-US"/>
        </w:rPr>
        <w:t>“</w:t>
      </w:r>
      <w:r>
        <w:rPr>
          <w:rtl w:val="0"/>
          <w:lang w:val="en-US"/>
        </w:rPr>
        <w:t>6</w:t>
      </w:r>
      <w:r>
        <w:rPr>
          <w:rtl w:val="0"/>
          <w:lang w:val="zh-TW" w:eastAsia="zh-TW"/>
        </w:rPr>
        <w:t>年以上</w:t>
      </w:r>
      <w:r>
        <w:rPr>
          <w:rtl w:val="0"/>
          <w:lang w:val="en-US"/>
        </w:rPr>
        <w:t>”</w:t>
      </w:r>
      <w:r>
        <w:rPr>
          <w:rtl w:val="0"/>
          <w:lang w:val="zh-TW" w:eastAsia="zh-TW"/>
        </w:rPr>
        <w:t>占比</w:t>
      </w:r>
      <w:r>
        <w:rPr>
          <w:rtl w:val="0"/>
          <w:lang w:val="en-US"/>
        </w:rPr>
        <w:t>5%</w:t>
      </w:r>
      <w:r>
        <w:rPr>
          <w:rtl w:val="0"/>
          <w:lang w:val="zh-TW" w:eastAsia="zh-TW"/>
        </w:rPr>
        <w:t>，也提高了近</w:t>
      </w:r>
      <w:r>
        <w:rPr>
          <w:rtl w:val="0"/>
          <w:lang w:val="en-US"/>
        </w:rPr>
        <w:t>2</w:t>
      </w:r>
      <w:r>
        <w:rPr>
          <w:rtl w:val="0"/>
          <w:lang w:val="zh-TW" w:eastAsia="zh-TW"/>
        </w:rPr>
        <w:t>个百分点。综合来看，具有</w:t>
      </w:r>
      <w:r>
        <w:rPr>
          <w:rtl w:val="0"/>
          <w:lang w:val="en-US"/>
        </w:rPr>
        <w:t>1</w:t>
      </w:r>
      <w:r>
        <w:rPr>
          <w:rtl w:val="0"/>
          <w:lang w:val="zh-TW" w:eastAsia="zh-TW"/>
        </w:rPr>
        <w:t>年以上，特别是</w:t>
      </w:r>
      <w:r>
        <w:rPr>
          <w:rtl w:val="0"/>
          <w:lang w:val="en-US"/>
        </w:rPr>
        <w:t>3</w:t>
      </w:r>
      <w:r>
        <w:rPr>
          <w:rtl w:val="0"/>
          <w:lang w:val="zh-TW" w:eastAsia="zh-TW"/>
        </w:rPr>
        <w:t>年以上海外工作经验的海归比例提升明显。可以看到，越来越多的海归具有海外工作经验，海归质量不断提升。</w:t>
      </w:r>
    </w:p>
    <w:p>
      <w:pPr>
        <w:pStyle w:val="Normal.0"/>
        <w:keepNext w:val="1"/>
      </w:pPr>
      <w:r>
        <w:drawing>
          <wp:inline distT="0" distB="0" distL="0" distR="0">
            <wp:extent cx="5185345" cy="2826588"/>
            <wp:effectExtent l="0" t="0" r="0" b="0"/>
            <wp:docPr id="1073741836" name="officeArt object"/>
            <wp:cNvGraphicFramePr/>
            <a:graphic xmlns:a="http://schemas.openxmlformats.org/drawingml/2006/main">
              <a:graphicData uri="http://schemas.openxmlformats.org/drawingml/2006/chart">
                <c:chart xmlns:c="http://schemas.openxmlformats.org/drawingml/2006/chart" r:id="rId15"/>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12 </w:t>
      </w:r>
      <w:r>
        <w:rPr>
          <w:rFonts w:ascii="黑体" w:cs="黑体" w:hAnsi="黑体" w:eastAsia="黑体"/>
          <w:rtl w:val="0"/>
          <w:lang w:val="zh-TW" w:eastAsia="zh-TW"/>
        </w:rPr>
        <w:t>海外工作情况</w:t>
      </w:r>
    </w:p>
    <w:p>
      <w:pPr>
        <w:pStyle w:val="Normal.0"/>
        <w:ind w:firstLine="420"/>
      </w:pPr>
      <w:r>
        <w:rPr>
          <w:rtl w:val="0"/>
          <w:lang w:val="zh-TW" w:eastAsia="zh-TW"/>
        </w:rPr>
        <w:t>在海外创业经验分布情况来看，海归群体中大多数人没有海外创业经验，比例达</w:t>
      </w:r>
      <w:r>
        <w:rPr>
          <w:rtl w:val="0"/>
          <w:lang w:val="en-US"/>
        </w:rPr>
        <w:t>84%</w:t>
      </w:r>
      <w:r>
        <w:rPr>
          <w:rtl w:val="0"/>
          <w:lang w:val="zh-TW" w:eastAsia="zh-TW"/>
        </w:rPr>
        <w:t>；</w:t>
      </w:r>
      <w:r>
        <w:rPr>
          <w:rtl w:val="0"/>
          <w:lang w:val="en-US"/>
        </w:rPr>
        <w:t>“</w:t>
      </w:r>
      <w:r>
        <w:rPr>
          <w:rtl w:val="0"/>
          <w:lang w:val="zh-TW" w:eastAsia="zh-TW"/>
        </w:rPr>
        <w:t>有过创业经验，但没有获得显著成效或出现经济等方面的损失</w:t>
      </w:r>
      <w:r>
        <w:rPr>
          <w:rtl w:val="0"/>
          <w:lang w:val="en-US"/>
        </w:rPr>
        <w:t>”</w:t>
      </w:r>
      <w:r>
        <w:rPr>
          <w:rtl w:val="0"/>
          <w:lang w:val="zh-TW" w:eastAsia="zh-TW"/>
        </w:rPr>
        <w:t>比例为</w:t>
      </w:r>
      <w:r>
        <w:rPr>
          <w:rtl w:val="0"/>
          <w:lang w:val="en-US"/>
        </w:rPr>
        <w:t>12%</w:t>
      </w:r>
      <w:r>
        <w:rPr>
          <w:rtl w:val="0"/>
          <w:lang w:val="zh-TW" w:eastAsia="zh-TW"/>
        </w:rPr>
        <w:t>；有</w:t>
      </w:r>
      <w:r>
        <w:rPr>
          <w:rtl w:val="0"/>
          <w:lang w:val="en-US"/>
        </w:rPr>
        <w:t>“</w:t>
      </w:r>
      <w:r>
        <w:rPr>
          <w:rtl w:val="0"/>
          <w:lang w:val="zh-TW" w:eastAsia="zh-TW"/>
        </w:rPr>
        <w:t>创业经验，且创业获得显著成效</w:t>
      </w:r>
      <w:r>
        <w:rPr>
          <w:rtl w:val="0"/>
          <w:lang w:val="en-US"/>
        </w:rPr>
        <w:t>”</w:t>
      </w:r>
      <w:r>
        <w:rPr>
          <w:rtl w:val="0"/>
          <w:lang w:val="zh-TW" w:eastAsia="zh-TW"/>
        </w:rPr>
        <w:t>的比例为</w:t>
      </w:r>
      <w:r>
        <w:rPr>
          <w:rtl w:val="0"/>
          <w:lang w:val="en-US"/>
        </w:rPr>
        <w:t>4%</w:t>
      </w:r>
      <w:r>
        <w:rPr>
          <w:rtl w:val="0"/>
          <w:lang w:val="zh-TW" w:eastAsia="zh-TW"/>
        </w:rPr>
        <w:t>。男性数据略高于女性。</w:t>
      </w:r>
    </w:p>
    <w:p>
      <w:pPr>
        <w:pStyle w:val="Normal.0"/>
        <w:keepNext w:val="1"/>
      </w:pPr>
      <w:r>
        <w:drawing>
          <wp:inline distT="0" distB="0" distL="0" distR="0">
            <wp:extent cx="5090813" cy="2663828"/>
            <wp:effectExtent l="0" t="0" r="0" b="0"/>
            <wp:docPr id="1073741837" name="officeArt object"/>
            <wp:cNvGraphicFramePr/>
            <a:graphic xmlns:a="http://schemas.openxmlformats.org/drawingml/2006/main">
              <a:graphicData uri="http://schemas.openxmlformats.org/drawingml/2006/chart">
                <c:chart xmlns:c="http://schemas.openxmlformats.org/drawingml/2006/chart" r:id="rId16"/>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13 </w:t>
      </w:r>
      <w:r>
        <w:rPr>
          <w:rFonts w:ascii="黑体" w:cs="黑体" w:hAnsi="黑体" w:eastAsia="黑体"/>
          <w:rtl w:val="0"/>
          <w:lang w:val="zh-TW" w:eastAsia="zh-TW"/>
        </w:rPr>
        <w:t>海外创业情况</w:t>
      </w:r>
    </w:p>
    <w:p>
      <w:pPr>
        <w:pStyle w:val="heading 2"/>
      </w:pPr>
      <w:r>
        <w:rPr>
          <w:rtl w:val="0"/>
          <w:lang w:val="zh-TW" w:eastAsia="zh-TW"/>
        </w:rPr>
        <w:t>（三）留学安全：海归群体对于留学安全的关注程度有所上升，</w:t>
      </w:r>
      <w:r>
        <w:rPr>
          <w:rFonts w:ascii="Calibri" w:cs="Calibri" w:hAnsi="Calibri" w:eastAsia="Calibri"/>
          <w:rtl w:val="0"/>
          <w:lang w:val="en-US"/>
        </w:rPr>
        <w:t>“</w:t>
      </w:r>
      <w:r>
        <w:rPr>
          <w:rtl w:val="0"/>
          <w:lang w:val="zh-TW" w:eastAsia="zh-TW"/>
        </w:rPr>
        <w:t>提高法律意识，了解和遵守当地法律</w:t>
      </w:r>
      <w:r>
        <w:rPr>
          <w:rFonts w:ascii="Calibri" w:cs="Calibri" w:hAnsi="Calibri" w:eastAsia="Calibri"/>
          <w:rtl w:val="0"/>
          <w:lang w:val="en-US"/>
        </w:rPr>
        <w:t>”</w:t>
      </w:r>
      <w:r>
        <w:rPr>
          <w:rtl w:val="0"/>
          <w:lang w:val="zh-TW" w:eastAsia="zh-TW"/>
        </w:rPr>
        <w:t>是保护个人人身财产安全的重要途经。</w:t>
      </w:r>
    </w:p>
    <w:p>
      <w:pPr>
        <w:pStyle w:val="Normal.0"/>
        <w:ind w:firstLine="420"/>
      </w:pPr>
      <w:r>
        <w:rPr>
          <w:rtl w:val="0"/>
          <w:lang w:val="zh-TW" w:eastAsia="zh-TW"/>
        </w:rPr>
        <w:t>近年来，留学生在国外遭到不法侵害的事件时有发生，留学安全问题备受留学生、家长，乃至整个社会的关注。调查数据显示，海归群体中认为留学安全问题</w:t>
      </w:r>
      <w:r>
        <w:rPr>
          <w:rtl w:val="0"/>
          <w:lang w:val="en-US"/>
        </w:rPr>
        <w:t>“</w:t>
      </w:r>
      <w:r>
        <w:rPr>
          <w:rtl w:val="0"/>
          <w:lang w:val="zh-TW" w:eastAsia="zh-TW"/>
        </w:rPr>
        <w:t>较为常见，要提高防范意识</w:t>
      </w:r>
      <w:r>
        <w:rPr>
          <w:rtl w:val="0"/>
          <w:lang w:val="en-US"/>
        </w:rPr>
        <w:t>”</w:t>
      </w:r>
      <w:r>
        <w:rPr>
          <w:rtl w:val="0"/>
          <w:lang w:val="zh-TW" w:eastAsia="zh-TW"/>
        </w:rPr>
        <w:t>的比例达到</w:t>
      </w:r>
      <w:r>
        <w:rPr>
          <w:rtl w:val="0"/>
          <w:lang w:val="en-US"/>
        </w:rPr>
        <w:t>44%</w:t>
      </w:r>
      <w:r>
        <w:rPr>
          <w:rtl w:val="0"/>
          <w:lang w:val="zh-TW" w:eastAsia="zh-TW"/>
        </w:rPr>
        <w:t>，</w:t>
      </w:r>
      <w:r>
        <w:rPr>
          <w:rtl w:val="0"/>
          <w:lang w:val="en-US"/>
        </w:rPr>
        <w:t>2017</w:t>
      </w:r>
      <w:r>
        <w:rPr>
          <w:rtl w:val="0"/>
          <w:lang w:val="zh-TW" w:eastAsia="zh-TW"/>
        </w:rPr>
        <w:t>年该数据仅为</w:t>
      </w:r>
      <w:r>
        <w:rPr>
          <w:rtl w:val="0"/>
          <w:lang w:val="en-US"/>
        </w:rPr>
        <w:t>27%</w:t>
      </w:r>
      <w:r>
        <w:rPr>
          <w:rtl w:val="0"/>
          <w:lang w:val="zh-TW" w:eastAsia="zh-TW"/>
        </w:rPr>
        <w:t>。认为</w:t>
      </w:r>
      <w:r>
        <w:rPr>
          <w:rtl w:val="0"/>
          <w:lang w:val="en-US"/>
        </w:rPr>
        <w:t>“</w:t>
      </w:r>
      <w:r>
        <w:rPr>
          <w:rtl w:val="0"/>
          <w:lang w:val="zh-TW" w:eastAsia="zh-TW"/>
        </w:rPr>
        <w:t>只是个别案例被媒体放大，不值得大惊小怪</w:t>
      </w:r>
      <w:r>
        <w:rPr>
          <w:rtl w:val="0"/>
          <w:lang w:val="en-US"/>
        </w:rPr>
        <w:t>”</w:t>
      </w:r>
      <w:r>
        <w:rPr>
          <w:rtl w:val="0"/>
          <w:lang w:val="zh-TW" w:eastAsia="zh-TW"/>
        </w:rPr>
        <w:t>的比例也</w:t>
      </w:r>
      <w:r>
        <w:rPr>
          <w:rtl w:val="0"/>
          <w:lang w:val="en-US"/>
        </w:rPr>
        <w:t>2017</w:t>
      </w:r>
      <w:r>
        <w:rPr>
          <w:rtl w:val="0"/>
          <w:lang w:val="zh-TW" w:eastAsia="zh-TW"/>
        </w:rPr>
        <w:t>年的</w:t>
      </w:r>
      <w:r>
        <w:rPr>
          <w:rtl w:val="0"/>
          <w:lang w:val="en-US"/>
        </w:rPr>
        <w:t>66%</w:t>
      </w:r>
      <w:r>
        <w:rPr>
          <w:rtl w:val="0"/>
          <w:lang w:val="zh-TW" w:eastAsia="zh-TW"/>
        </w:rPr>
        <w:t>下降到</w:t>
      </w:r>
      <w:r>
        <w:rPr>
          <w:rtl w:val="0"/>
          <w:lang w:val="en-US"/>
        </w:rPr>
        <w:t>2018</w:t>
      </w:r>
      <w:r>
        <w:rPr>
          <w:rtl w:val="0"/>
          <w:lang w:val="zh-TW" w:eastAsia="zh-TW"/>
        </w:rPr>
        <w:t>年的</w:t>
      </w:r>
      <w:r>
        <w:rPr>
          <w:rtl w:val="0"/>
          <w:lang w:val="en-US"/>
        </w:rPr>
        <w:t>40%</w:t>
      </w:r>
      <w:r>
        <w:rPr>
          <w:rtl w:val="0"/>
          <w:lang w:val="zh-TW" w:eastAsia="zh-TW"/>
        </w:rPr>
        <w:t>。留学生的安全意识有明显提升。此外，另有</w:t>
      </w:r>
      <w:r>
        <w:rPr>
          <w:rtl w:val="0"/>
          <w:lang w:val="en-US"/>
        </w:rPr>
        <w:t>13%</w:t>
      </w:r>
      <w:r>
        <w:rPr>
          <w:rtl w:val="0"/>
          <w:lang w:val="zh-TW" w:eastAsia="zh-TW"/>
        </w:rPr>
        <w:t>的受访者认为</w:t>
      </w:r>
      <w:r>
        <w:rPr>
          <w:rtl w:val="0"/>
          <w:lang w:val="en-US"/>
        </w:rPr>
        <w:t>“</w:t>
      </w:r>
      <w:r>
        <w:rPr>
          <w:rtl w:val="0"/>
          <w:lang w:val="zh-TW" w:eastAsia="zh-TW"/>
        </w:rPr>
        <w:t>留学所在国不存在安全问题</w:t>
      </w:r>
      <w:r>
        <w:rPr>
          <w:rtl w:val="0"/>
          <w:lang w:val="en-US"/>
        </w:rPr>
        <w:t>”</w:t>
      </w:r>
      <w:r>
        <w:rPr>
          <w:rtl w:val="0"/>
          <w:lang w:val="zh-TW" w:eastAsia="zh-TW"/>
        </w:rPr>
        <w:t>，</w:t>
      </w:r>
      <w:r>
        <w:rPr>
          <w:rtl w:val="0"/>
          <w:lang w:val="en-US"/>
        </w:rPr>
        <w:t>4%</w:t>
      </w:r>
      <w:r>
        <w:rPr>
          <w:rtl w:val="0"/>
          <w:lang w:val="zh-TW" w:eastAsia="zh-TW"/>
        </w:rPr>
        <w:t>表示对于是否存在留学安全问题</w:t>
      </w:r>
      <w:r>
        <w:rPr>
          <w:rtl w:val="0"/>
          <w:lang w:val="en-US"/>
        </w:rPr>
        <w:t>“</w:t>
      </w:r>
      <w:r>
        <w:rPr>
          <w:rtl w:val="0"/>
          <w:lang w:val="zh-TW" w:eastAsia="zh-TW"/>
        </w:rPr>
        <w:t>不清楚</w:t>
      </w:r>
      <w:r>
        <w:rPr>
          <w:rtl w:val="0"/>
          <w:lang w:val="en-US"/>
        </w:rPr>
        <w:t>”</w:t>
      </w:r>
      <w:r>
        <w:rPr>
          <w:rtl w:val="0"/>
          <w:lang w:val="zh-TW" w:eastAsia="zh-TW"/>
        </w:rPr>
        <w:t>。</w:t>
      </w:r>
    </w:p>
    <w:p>
      <w:pPr>
        <w:pStyle w:val="Normal.0"/>
        <w:keepNext w:val="1"/>
      </w:pPr>
      <w:r>
        <w:drawing>
          <wp:inline distT="0" distB="0" distL="0" distR="0">
            <wp:extent cx="5185345" cy="2826588"/>
            <wp:effectExtent l="0" t="0" r="0" b="0"/>
            <wp:docPr id="1073741838" name="officeArt object"/>
            <wp:cNvGraphicFramePr/>
            <a:graphic xmlns:a="http://schemas.openxmlformats.org/drawingml/2006/main">
              <a:graphicData uri="http://schemas.openxmlformats.org/drawingml/2006/chart">
                <c:chart xmlns:c="http://schemas.openxmlformats.org/drawingml/2006/chart" r:id="rId17"/>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14 </w:t>
      </w:r>
      <w:r>
        <w:rPr>
          <w:rFonts w:ascii="黑体" w:cs="黑体" w:hAnsi="黑体" w:eastAsia="黑体"/>
          <w:rtl w:val="0"/>
          <w:lang w:val="zh-TW" w:eastAsia="zh-TW"/>
        </w:rPr>
        <w:t>对留学安全问题的看法</w:t>
      </w:r>
    </w:p>
    <w:p>
      <w:pPr>
        <w:pStyle w:val="Normal.0"/>
        <w:ind w:firstLine="420"/>
      </w:pPr>
      <w:r>
        <w:rPr>
          <w:rtl w:val="0"/>
          <w:lang w:val="zh-TW" w:eastAsia="zh-TW"/>
        </w:rPr>
        <w:t>关于如何防范留学安全问题带来的隐患，海归群体中</w:t>
      </w:r>
      <w:r>
        <w:rPr>
          <w:rtl w:val="0"/>
          <w:lang w:val="en-US"/>
        </w:rPr>
        <w:t>80%</w:t>
      </w:r>
      <w:r>
        <w:rPr>
          <w:rtl w:val="0"/>
          <w:lang w:val="zh-TW" w:eastAsia="zh-TW"/>
        </w:rPr>
        <w:t>的人认为留学生应</w:t>
      </w:r>
      <w:r>
        <w:rPr>
          <w:rtl w:val="0"/>
          <w:lang w:val="en-US"/>
        </w:rPr>
        <w:t>“</w:t>
      </w:r>
      <w:r>
        <w:rPr>
          <w:rtl w:val="0"/>
          <w:lang w:val="zh-TW" w:eastAsia="zh-TW"/>
        </w:rPr>
        <w:t>提高法律意识，了解和遵守当地法律</w:t>
      </w:r>
      <w:r>
        <w:rPr>
          <w:rtl w:val="0"/>
          <w:lang w:val="en-US"/>
        </w:rPr>
        <w:t>”</w:t>
      </w:r>
      <w:r>
        <w:rPr>
          <w:rtl w:val="0"/>
          <w:lang w:val="zh-TW" w:eastAsia="zh-TW"/>
        </w:rPr>
        <w:t>，</w:t>
      </w:r>
      <w:r>
        <w:rPr>
          <w:rtl w:val="0"/>
          <w:lang w:val="en-US"/>
        </w:rPr>
        <w:t>53%</w:t>
      </w:r>
      <w:r>
        <w:rPr>
          <w:rtl w:val="0"/>
          <w:lang w:val="zh-TW" w:eastAsia="zh-TW"/>
        </w:rPr>
        <w:t>的人希望</w:t>
      </w:r>
      <w:r>
        <w:rPr>
          <w:rtl w:val="0"/>
          <w:lang w:val="en-US"/>
        </w:rPr>
        <w:t>“</w:t>
      </w:r>
      <w:r>
        <w:rPr>
          <w:rtl w:val="0"/>
          <w:lang w:val="zh-TW" w:eastAsia="zh-TW"/>
        </w:rPr>
        <w:t>中国大使馆与各个学校中国学生会建立直接联系，打通留学生寻求帮助的官方渠道</w:t>
      </w:r>
      <w:r>
        <w:rPr>
          <w:rtl w:val="0"/>
          <w:lang w:val="en-US"/>
        </w:rPr>
        <w:t>”</w:t>
      </w:r>
      <w:r>
        <w:rPr>
          <w:rtl w:val="0"/>
          <w:lang w:val="zh-TW" w:eastAsia="zh-TW"/>
        </w:rPr>
        <w:t>，</w:t>
      </w:r>
      <w:r>
        <w:rPr>
          <w:rtl w:val="0"/>
          <w:lang w:val="en-US"/>
        </w:rPr>
        <w:t>49%</w:t>
      </w:r>
      <w:r>
        <w:rPr>
          <w:rtl w:val="0"/>
          <w:lang w:val="zh-TW" w:eastAsia="zh-TW"/>
        </w:rPr>
        <w:t>的人建议</w:t>
      </w:r>
      <w:r>
        <w:rPr>
          <w:rtl w:val="0"/>
          <w:lang w:val="en-US"/>
        </w:rPr>
        <w:t>“</w:t>
      </w:r>
      <w:r>
        <w:rPr>
          <w:rtl w:val="0"/>
          <w:lang w:val="zh-TW" w:eastAsia="zh-TW"/>
        </w:rPr>
        <w:t>留学国中国大使馆建立中国留学生信息库</w:t>
      </w:r>
      <w:r>
        <w:rPr>
          <w:rtl w:val="0"/>
          <w:lang w:val="en-US"/>
        </w:rPr>
        <w:t>”</w:t>
      </w:r>
      <w:r>
        <w:rPr>
          <w:rtl w:val="0"/>
          <w:lang w:val="zh-TW" w:eastAsia="zh-TW"/>
        </w:rPr>
        <w:t>。此外，也有海归建议</w:t>
      </w:r>
      <w:r>
        <w:rPr>
          <w:rtl w:val="0"/>
          <w:lang w:val="en-US"/>
        </w:rPr>
        <w:t>“</w:t>
      </w:r>
      <w:r>
        <w:rPr>
          <w:rtl w:val="0"/>
          <w:lang w:val="zh-TW" w:eastAsia="zh-TW"/>
        </w:rPr>
        <w:t>中国学生会按当地情况制作安全情况手册，并在</w:t>
      </w:r>
      <w:r>
        <w:rPr>
          <w:rtl w:val="0"/>
          <w:lang w:val="en-US"/>
        </w:rPr>
        <w:t>orientation</w:t>
      </w:r>
      <w:r>
        <w:rPr>
          <w:rtl w:val="0"/>
          <w:lang w:val="zh-TW" w:eastAsia="zh-TW"/>
        </w:rPr>
        <w:t>发放</w:t>
      </w:r>
      <w:r>
        <w:rPr>
          <w:rtl w:val="0"/>
          <w:lang w:val="en-US"/>
        </w:rPr>
        <w:t>”</w:t>
      </w:r>
      <w:r>
        <w:rPr>
          <w:rtl w:val="0"/>
          <w:lang w:val="zh-TW" w:eastAsia="zh-TW"/>
        </w:rPr>
        <w:t>（</w:t>
      </w:r>
      <w:r>
        <w:rPr>
          <w:rtl w:val="0"/>
          <w:lang w:val="en-US"/>
        </w:rPr>
        <w:t>29%</w:t>
      </w:r>
      <w:r>
        <w:rPr>
          <w:rtl w:val="0"/>
          <w:lang w:val="zh-TW" w:eastAsia="zh-TW"/>
        </w:rPr>
        <w:t>）、</w:t>
      </w:r>
      <w:r>
        <w:rPr>
          <w:rtl w:val="0"/>
          <w:lang w:val="en-US"/>
        </w:rPr>
        <w:t>“</w:t>
      </w:r>
      <w:r>
        <w:rPr>
          <w:rtl w:val="0"/>
          <w:lang w:val="zh-TW" w:eastAsia="zh-TW"/>
        </w:rPr>
        <w:t>政府制定留学安全手册</w:t>
      </w:r>
      <w:r>
        <w:rPr>
          <w:rtl w:val="0"/>
          <w:lang w:val="en-US"/>
        </w:rPr>
        <w:t>”</w:t>
      </w:r>
      <w:r>
        <w:rPr>
          <w:rtl w:val="0"/>
          <w:lang w:val="zh-TW" w:eastAsia="zh-TW"/>
        </w:rPr>
        <w:t>（</w:t>
      </w:r>
      <w:r>
        <w:rPr>
          <w:rtl w:val="0"/>
          <w:lang w:val="en-US"/>
        </w:rPr>
        <w:t>16%</w:t>
      </w:r>
      <w:r>
        <w:rPr>
          <w:rtl w:val="0"/>
          <w:lang w:val="zh-TW" w:eastAsia="zh-TW"/>
        </w:rPr>
        <w:t>）、留学生</w:t>
      </w:r>
      <w:r>
        <w:rPr>
          <w:rtl w:val="0"/>
          <w:lang w:val="en-US"/>
        </w:rPr>
        <w:t>“</w:t>
      </w:r>
      <w:r>
        <w:rPr>
          <w:rtl w:val="0"/>
          <w:lang w:val="zh-TW" w:eastAsia="zh-TW"/>
        </w:rPr>
        <w:t>及时寻求心理辅导</w:t>
      </w:r>
      <w:r>
        <w:rPr>
          <w:rtl w:val="0"/>
          <w:lang w:val="en-US"/>
        </w:rPr>
        <w:t>”</w:t>
      </w:r>
      <w:r>
        <w:rPr>
          <w:rtl w:val="0"/>
          <w:lang w:val="zh-TW" w:eastAsia="zh-TW"/>
        </w:rPr>
        <w:t>（</w:t>
      </w:r>
      <w:r>
        <w:rPr>
          <w:rtl w:val="0"/>
          <w:lang w:val="en-US"/>
        </w:rPr>
        <w:t>13%</w:t>
      </w:r>
      <w:r>
        <w:rPr>
          <w:rtl w:val="0"/>
          <w:lang w:val="zh-TW" w:eastAsia="zh-TW"/>
        </w:rPr>
        <w:t>）。</w:t>
      </w:r>
    </w:p>
    <w:p>
      <w:pPr>
        <w:pStyle w:val="Normal.0"/>
        <w:keepNext w:val="1"/>
      </w:pPr>
      <w:r>
        <w:drawing>
          <wp:inline distT="0" distB="0" distL="0" distR="0">
            <wp:extent cx="5274705" cy="3634641"/>
            <wp:effectExtent l="0" t="0" r="0" b="0"/>
            <wp:docPr id="1073741839" name="officeArt object"/>
            <wp:cNvGraphicFramePr/>
            <a:graphic xmlns:a="http://schemas.openxmlformats.org/drawingml/2006/main">
              <a:graphicData uri="http://schemas.openxmlformats.org/drawingml/2006/chart">
                <c:chart xmlns:c="http://schemas.openxmlformats.org/drawingml/2006/chart" r:id="rId18"/>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15 </w:t>
      </w:r>
      <w:r>
        <w:rPr>
          <w:rFonts w:ascii="黑体" w:cs="黑体" w:hAnsi="黑体" w:eastAsia="黑体"/>
          <w:rtl w:val="0"/>
          <w:lang w:val="zh-TW" w:eastAsia="zh-TW"/>
        </w:rPr>
        <w:t>提高留学生留学安全意识的途径</w:t>
      </w:r>
    </w:p>
    <w:p>
      <w:pPr>
        <w:pStyle w:val="heading 1"/>
        <w:rPr>
          <w:lang w:val="zh-TW" w:eastAsia="zh-TW"/>
        </w:rPr>
      </w:pPr>
      <w:r>
        <w:rPr>
          <w:rFonts w:ascii="黑体" w:cs="黑体" w:hAnsi="黑体" w:eastAsia="黑体"/>
          <w:rtl w:val="0"/>
          <w:lang w:val="zh-TW" w:eastAsia="zh-TW"/>
        </w:rPr>
        <w:t>回国发展</w:t>
      </w:r>
    </w:p>
    <w:p>
      <w:pPr>
        <w:pStyle w:val="Normal.0"/>
        <w:ind w:firstLine="420"/>
      </w:pPr>
      <w:r>
        <w:rPr>
          <w:rtl w:val="0"/>
          <w:lang w:val="en-US"/>
        </w:rPr>
        <w:t>“</w:t>
      </w:r>
      <w:r>
        <w:rPr>
          <w:rtl w:val="0"/>
          <w:lang w:val="zh-TW" w:eastAsia="zh-TW"/>
        </w:rPr>
        <w:t>方便与家人、朋友团聚</w:t>
      </w:r>
      <w:r>
        <w:rPr>
          <w:rtl w:val="0"/>
          <w:lang w:val="en-US"/>
        </w:rPr>
        <w:t>”</w:t>
      </w:r>
      <w:r>
        <w:rPr>
          <w:rtl w:val="0"/>
          <w:lang w:val="zh-TW" w:eastAsia="zh-TW"/>
        </w:rPr>
        <w:t>继续成为海归群体选择回国发展的首要原因，有</w:t>
      </w:r>
      <w:r>
        <w:rPr>
          <w:rtl w:val="0"/>
          <w:lang w:val="en-US"/>
        </w:rPr>
        <w:t>67%</w:t>
      </w:r>
      <w:r>
        <w:rPr>
          <w:rtl w:val="0"/>
          <w:lang w:val="zh-TW" w:eastAsia="zh-TW"/>
        </w:rPr>
        <w:t>的海归选择了这一选项；其次，</w:t>
      </w:r>
      <w:r>
        <w:rPr>
          <w:rtl w:val="0"/>
          <w:lang w:val="en-US"/>
        </w:rPr>
        <w:t>“</w:t>
      </w:r>
      <w:r>
        <w:rPr>
          <w:rtl w:val="0"/>
          <w:lang w:val="zh-TW" w:eastAsia="zh-TW"/>
        </w:rPr>
        <w:t>国内经济发展形势好</w:t>
      </w:r>
      <w:r>
        <w:rPr>
          <w:rtl w:val="0"/>
          <w:lang w:val="en-US"/>
        </w:rPr>
        <w:t>”</w:t>
      </w:r>
      <w:r>
        <w:rPr>
          <w:rtl w:val="0"/>
          <w:lang w:val="zh-TW" w:eastAsia="zh-TW"/>
        </w:rPr>
        <w:t>以</w:t>
      </w:r>
      <w:r>
        <w:rPr>
          <w:rtl w:val="0"/>
          <w:lang w:val="en-US"/>
        </w:rPr>
        <w:t>40%</w:t>
      </w:r>
      <w:r>
        <w:rPr>
          <w:rtl w:val="0"/>
          <w:lang w:val="zh-TW" w:eastAsia="zh-TW"/>
        </w:rPr>
        <w:t>的比例位居第二。在逆全球化势力加剧和国际政治经济局势动荡的背景下，因</w:t>
      </w:r>
      <w:r>
        <w:rPr>
          <w:rtl w:val="0"/>
          <w:lang w:val="en-US"/>
        </w:rPr>
        <w:t>“</w:t>
      </w:r>
      <w:r>
        <w:rPr>
          <w:rtl w:val="0"/>
          <w:lang w:val="zh-TW" w:eastAsia="zh-TW"/>
        </w:rPr>
        <w:t>国外的经济、政治或社会环境不利于留学生发展，如工作和移民政策</w:t>
      </w:r>
      <w:r>
        <w:rPr>
          <w:rtl w:val="0"/>
          <w:lang w:val="en-US"/>
        </w:rPr>
        <w:t>”</w:t>
      </w:r>
      <w:r>
        <w:rPr>
          <w:rtl w:val="0"/>
          <w:lang w:val="zh-TW" w:eastAsia="zh-TW"/>
        </w:rPr>
        <w:t>选择回国的海归占比达到</w:t>
      </w:r>
      <w:r>
        <w:rPr>
          <w:rtl w:val="0"/>
          <w:lang w:val="en-US"/>
        </w:rPr>
        <w:t>27%</w:t>
      </w:r>
      <w:r>
        <w:rPr>
          <w:rtl w:val="0"/>
          <w:lang w:val="zh-TW" w:eastAsia="zh-TW"/>
        </w:rPr>
        <w:t>。此外，</w:t>
      </w:r>
      <w:r>
        <w:rPr>
          <w:rtl w:val="0"/>
          <w:lang w:val="en-US"/>
        </w:rPr>
        <w:t>“</w:t>
      </w:r>
      <w:r>
        <w:rPr>
          <w:rtl w:val="0"/>
          <w:lang w:val="zh-TW" w:eastAsia="zh-TW"/>
        </w:rPr>
        <w:t>对中国文化和美食的眷恋</w:t>
      </w:r>
      <w:r>
        <w:rPr>
          <w:rtl w:val="0"/>
          <w:lang w:val="en-US"/>
        </w:rPr>
        <w:t>”</w:t>
      </w:r>
      <w:r>
        <w:rPr>
          <w:rtl w:val="0"/>
          <w:lang w:val="zh-TW" w:eastAsia="zh-TW"/>
        </w:rPr>
        <w:t>（</w:t>
      </w:r>
      <w:r>
        <w:rPr>
          <w:rtl w:val="0"/>
          <w:lang w:val="en-US"/>
        </w:rPr>
        <w:t>23%</w:t>
      </w:r>
      <w:r>
        <w:rPr>
          <w:rtl w:val="0"/>
          <w:lang w:val="zh-TW" w:eastAsia="zh-TW"/>
        </w:rPr>
        <w:t>）、</w:t>
      </w:r>
      <w:r>
        <w:rPr>
          <w:rtl w:val="0"/>
          <w:lang w:val="en-US"/>
        </w:rPr>
        <w:t>“</w:t>
      </w:r>
      <w:r>
        <w:rPr>
          <w:rtl w:val="0"/>
          <w:lang w:val="zh-TW" w:eastAsia="zh-TW"/>
        </w:rPr>
        <w:t>所学专业在国内具有良好的发展前景</w:t>
      </w:r>
      <w:r>
        <w:rPr>
          <w:rtl w:val="0"/>
          <w:lang w:val="en-US"/>
        </w:rPr>
        <w:t>”</w:t>
      </w:r>
      <w:r>
        <w:rPr>
          <w:rtl w:val="0"/>
          <w:lang w:val="zh-TW" w:eastAsia="zh-TW"/>
        </w:rPr>
        <w:t>（</w:t>
      </w:r>
      <w:r>
        <w:rPr>
          <w:rtl w:val="0"/>
          <w:lang w:val="en-US"/>
        </w:rPr>
        <w:t>14%</w:t>
      </w:r>
      <w:r>
        <w:rPr>
          <w:rtl w:val="0"/>
          <w:lang w:val="zh-TW" w:eastAsia="zh-TW"/>
        </w:rPr>
        <w:t>）、</w:t>
      </w:r>
      <w:r>
        <w:rPr>
          <w:rtl w:val="0"/>
          <w:lang w:val="en-US"/>
        </w:rPr>
        <w:t>“</w:t>
      </w:r>
      <w:r>
        <w:rPr>
          <w:rtl w:val="0"/>
          <w:lang w:val="zh-TW" w:eastAsia="zh-TW"/>
        </w:rPr>
        <w:t>在国内具有良好的发展基础</w:t>
      </w:r>
      <w:r>
        <w:rPr>
          <w:rtl w:val="0"/>
          <w:lang w:val="en-US"/>
        </w:rPr>
        <w:t>”</w:t>
      </w:r>
      <w:r>
        <w:rPr>
          <w:rtl w:val="0"/>
          <w:lang w:val="zh-TW" w:eastAsia="zh-TW"/>
        </w:rPr>
        <w:t>（</w:t>
      </w:r>
      <w:r>
        <w:rPr>
          <w:rtl w:val="0"/>
          <w:lang w:val="en-US"/>
        </w:rPr>
        <w:t>13%</w:t>
      </w:r>
      <w:r>
        <w:rPr>
          <w:rtl w:val="0"/>
          <w:lang w:val="zh-TW" w:eastAsia="zh-TW"/>
        </w:rPr>
        <w:t>）、</w:t>
      </w:r>
      <w:r>
        <w:rPr>
          <w:rtl w:val="0"/>
          <w:lang w:val="en-US"/>
        </w:rPr>
        <w:t>“</w:t>
      </w:r>
      <w:r>
        <w:rPr>
          <w:rtl w:val="0"/>
          <w:lang w:val="zh-TW" w:eastAsia="zh-TW"/>
        </w:rPr>
        <w:t>具有为国奉献的意愿</w:t>
      </w:r>
      <w:r>
        <w:rPr>
          <w:rtl w:val="0"/>
          <w:lang w:val="en-US"/>
        </w:rPr>
        <w:t>”</w:t>
      </w:r>
      <w:r>
        <w:rPr>
          <w:rtl w:val="0"/>
          <w:lang w:val="zh-TW" w:eastAsia="zh-TW"/>
        </w:rPr>
        <w:t>（</w:t>
      </w:r>
      <w:r>
        <w:rPr>
          <w:rtl w:val="0"/>
          <w:lang w:val="en-US"/>
        </w:rPr>
        <w:t>12%</w:t>
      </w:r>
      <w:r>
        <w:rPr>
          <w:rtl w:val="0"/>
          <w:lang w:val="zh-TW" w:eastAsia="zh-TW"/>
        </w:rPr>
        <w:t>）、</w:t>
      </w:r>
      <w:r>
        <w:rPr>
          <w:rtl w:val="0"/>
          <w:lang w:val="en-US"/>
        </w:rPr>
        <w:t>“</w:t>
      </w:r>
      <w:r>
        <w:rPr>
          <w:rtl w:val="0"/>
          <w:lang w:val="zh-TW" w:eastAsia="zh-TW"/>
        </w:rPr>
        <w:t>国内人才政策具有吸引力</w:t>
      </w:r>
      <w:r>
        <w:rPr>
          <w:rtl w:val="0"/>
          <w:lang w:val="en-US"/>
        </w:rPr>
        <w:t>”</w:t>
      </w:r>
      <w:r>
        <w:rPr>
          <w:rtl w:val="0"/>
          <w:lang w:val="zh-TW" w:eastAsia="zh-TW"/>
        </w:rPr>
        <w:t>（</w:t>
      </w:r>
      <w:r>
        <w:rPr>
          <w:rtl w:val="0"/>
          <w:lang w:val="en-US"/>
        </w:rPr>
        <w:t>12%</w:t>
      </w:r>
      <w:r>
        <w:rPr>
          <w:rtl w:val="0"/>
          <w:lang w:val="zh-TW" w:eastAsia="zh-TW"/>
        </w:rPr>
        <w:t>）和国内拥有良好的创新创业环境</w:t>
      </w:r>
      <w:r>
        <w:rPr>
          <w:rtl w:val="0"/>
          <w:lang w:val="en-US"/>
        </w:rPr>
        <w:t>“</w:t>
      </w:r>
      <w:r>
        <w:rPr>
          <w:rtl w:val="0"/>
          <w:lang w:val="zh-TW" w:eastAsia="zh-TW"/>
        </w:rPr>
        <w:t>（</w:t>
      </w:r>
      <w:r>
        <w:rPr>
          <w:rtl w:val="0"/>
          <w:lang w:val="en-US"/>
        </w:rPr>
        <w:t>9%</w:t>
      </w:r>
      <w:r>
        <w:rPr>
          <w:rtl w:val="0"/>
          <w:lang w:val="zh-TW" w:eastAsia="zh-TW"/>
        </w:rPr>
        <w:t>），也在留学生选择回国发展中起到一定的影响。从性别差异来看，研究发现，选择</w:t>
      </w:r>
      <w:r>
        <w:rPr>
          <w:rtl w:val="0"/>
          <w:lang w:val="en-US"/>
        </w:rPr>
        <w:t>“</w:t>
      </w:r>
      <w:r>
        <w:rPr>
          <w:rtl w:val="0"/>
          <w:lang w:val="zh-TW" w:eastAsia="zh-TW"/>
        </w:rPr>
        <w:t>方便与家人、朋友团聚</w:t>
      </w:r>
      <w:r>
        <w:rPr>
          <w:rtl w:val="0"/>
          <w:lang w:val="en-US"/>
        </w:rPr>
        <w:t>”</w:t>
      </w:r>
      <w:r>
        <w:rPr>
          <w:rtl w:val="0"/>
          <w:lang w:val="zh-TW" w:eastAsia="zh-TW"/>
        </w:rPr>
        <w:t>的女性海归（</w:t>
      </w:r>
      <w:r>
        <w:rPr>
          <w:rtl w:val="0"/>
          <w:lang w:val="en-US"/>
        </w:rPr>
        <w:t>75%</w:t>
      </w:r>
      <w:r>
        <w:rPr>
          <w:rtl w:val="0"/>
          <w:lang w:val="zh-TW" w:eastAsia="zh-TW"/>
        </w:rPr>
        <w:t>）多于男性海归（</w:t>
      </w:r>
      <w:r>
        <w:rPr>
          <w:rtl w:val="0"/>
          <w:lang w:val="en-US"/>
        </w:rPr>
        <w:t>58%</w:t>
      </w:r>
      <w:r>
        <w:rPr>
          <w:rtl w:val="0"/>
          <w:lang w:val="zh-TW" w:eastAsia="zh-TW"/>
        </w:rPr>
        <w:t>），而与女性海归（</w:t>
      </w:r>
      <w:r>
        <w:rPr>
          <w:rtl w:val="0"/>
          <w:lang w:val="en-US"/>
        </w:rPr>
        <w:t>35%</w:t>
      </w:r>
      <w:r>
        <w:rPr>
          <w:rtl w:val="0"/>
          <w:lang w:val="zh-TW" w:eastAsia="zh-TW"/>
        </w:rPr>
        <w:t>）相比，则有更多男性海归（</w:t>
      </w:r>
      <w:r>
        <w:rPr>
          <w:rtl w:val="0"/>
          <w:lang w:val="en-US"/>
        </w:rPr>
        <w:t>47%</w:t>
      </w:r>
      <w:r>
        <w:rPr>
          <w:rtl w:val="0"/>
          <w:lang w:val="zh-TW" w:eastAsia="zh-TW"/>
        </w:rPr>
        <w:t>）因</w:t>
      </w:r>
      <w:r>
        <w:rPr>
          <w:rtl w:val="0"/>
          <w:lang w:val="en-US"/>
        </w:rPr>
        <w:t>“</w:t>
      </w:r>
      <w:r>
        <w:rPr>
          <w:rtl w:val="0"/>
          <w:lang w:val="zh-TW" w:eastAsia="zh-TW"/>
        </w:rPr>
        <w:t>国内经济发展形势较好</w:t>
      </w:r>
      <w:r>
        <w:rPr>
          <w:rtl w:val="0"/>
          <w:lang w:val="en-US"/>
        </w:rPr>
        <w:t>”</w:t>
      </w:r>
      <w:r>
        <w:rPr>
          <w:rtl w:val="0"/>
          <w:lang w:val="zh-TW" w:eastAsia="zh-TW"/>
        </w:rPr>
        <w:t>回国。</w:t>
      </w:r>
    </w:p>
    <w:p>
      <w:pPr>
        <w:pStyle w:val="Normal.0"/>
        <w:keepNext w:val="1"/>
      </w:pPr>
      <w:r>
        <w:drawing>
          <wp:inline distT="0" distB="0" distL="0" distR="0">
            <wp:extent cx="5139109" cy="3643004"/>
            <wp:effectExtent l="0" t="0" r="0" b="0"/>
            <wp:docPr id="1073741840" name="officeArt object"/>
            <wp:cNvGraphicFramePr/>
            <a:graphic xmlns:a="http://schemas.openxmlformats.org/drawingml/2006/main">
              <a:graphicData uri="http://schemas.openxmlformats.org/drawingml/2006/chart">
                <c:chart xmlns:c="http://schemas.openxmlformats.org/drawingml/2006/chart" r:id="rId19"/>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16 </w:t>
      </w:r>
      <w:r>
        <w:rPr>
          <w:rFonts w:ascii="黑体" w:cs="黑体" w:hAnsi="黑体" w:eastAsia="黑体"/>
          <w:rtl w:val="0"/>
          <w:lang w:val="zh-TW" w:eastAsia="zh-TW"/>
        </w:rPr>
        <w:t>为什么选择回国发展</w:t>
      </w:r>
    </w:p>
    <w:p>
      <w:pPr>
        <w:pStyle w:val="heading 2"/>
      </w:pPr>
      <w:r>
        <w:rPr>
          <w:rtl w:val="0"/>
          <w:lang w:val="zh-TW" w:eastAsia="zh-TW"/>
        </w:rPr>
        <w:t>（一）城市选择：多数海归回国后未发生相对于生源地的现居住地迁移现象；对于发生迁移的海归群体来说，北京、上海和广东是其选择区域发展的重点目标，东北地区和中西部地区海归人才面临流失的挑战；</w:t>
      </w:r>
      <w:r>
        <w:rPr>
          <w:rtl w:val="0"/>
          <w:lang w:val="en-US"/>
        </w:rPr>
        <w:t>“</w:t>
      </w:r>
      <w:r>
        <w:rPr>
          <w:rtl w:val="0"/>
          <w:lang w:val="zh-TW" w:eastAsia="zh-TW"/>
        </w:rPr>
        <w:t>经济发展快</w:t>
      </w:r>
      <w:r>
        <w:rPr>
          <w:rtl w:val="0"/>
          <w:lang w:val="en-US"/>
        </w:rPr>
        <w:t>”</w:t>
      </w:r>
      <w:r>
        <w:rPr>
          <w:rtl w:val="0"/>
          <w:lang w:val="zh-TW" w:eastAsia="zh-TW"/>
        </w:rPr>
        <w:t>是海归群体选择迁移城市的重要参考。</w:t>
      </w:r>
    </w:p>
    <w:p>
      <w:pPr>
        <w:pStyle w:val="Normal.0"/>
        <w:ind w:firstLine="420"/>
      </w:pPr>
      <w:r>
        <w:rPr>
          <w:rtl w:val="0"/>
          <w:lang w:val="zh-TW" w:eastAsia="zh-TW"/>
        </w:rPr>
        <w:t>最近一年，城市间的</w:t>
      </w:r>
      <w:r>
        <w:rPr>
          <w:rtl w:val="0"/>
          <w:lang w:val="en-US"/>
        </w:rPr>
        <w:t>“</w:t>
      </w:r>
      <w:r>
        <w:rPr>
          <w:rtl w:val="0"/>
          <w:lang w:val="zh-TW" w:eastAsia="zh-TW"/>
        </w:rPr>
        <w:t>人才大战</w:t>
      </w:r>
      <w:r>
        <w:rPr>
          <w:rtl w:val="0"/>
          <w:lang w:val="en-US"/>
        </w:rPr>
        <w:t>”</w:t>
      </w:r>
      <w:r>
        <w:rPr>
          <w:rtl w:val="0"/>
          <w:lang w:val="zh-TW" w:eastAsia="zh-TW"/>
        </w:rPr>
        <w:t>从一线城市扩散到二、三线城市，人才资源越来越受到关注。我们对海归群体的生源地和现居住地进行了调查。数据显示，海归群体生源地占比超过</w:t>
      </w:r>
      <w:r>
        <w:rPr>
          <w:rtl w:val="0"/>
          <w:lang w:val="zh-TW" w:eastAsia="zh-TW"/>
        </w:rPr>
        <w:t>5%</w:t>
      </w:r>
      <w:r>
        <w:rPr>
          <w:rtl w:val="0"/>
          <w:lang w:val="zh-TW" w:eastAsia="zh-TW"/>
        </w:rPr>
        <w:t>的省市有北京、广东、山东、辽宁、江苏、河北，分别占海归群体的</w:t>
      </w:r>
      <w:r>
        <w:rPr>
          <w:rtl w:val="0"/>
          <w:lang w:val="zh-TW" w:eastAsia="zh-TW"/>
        </w:rPr>
        <w:t>9%</w:t>
      </w:r>
      <w:r>
        <w:rPr>
          <w:rtl w:val="0"/>
          <w:lang w:val="zh-TW" w:eastAsia="zh-TW"/>
        </w:rPr>
        <w:t>、</w:t>
      </w:r>
      <w:r>
        <w:rPr>
          <w:rtl w:val="0"/>
          <w:lang w:val="zh-TW" w:eastAsia="zh-TW"/>
        </w:rPr>
        <w:t>9%</w:t>
      </w:r>
      <w:r>
        <w:rPr>
          <w:rtl w:val="0"/>
          <w:lang w:val="zh-TW" w:eastAsia="zh-TW"/>
        </w:rPr>
        <w:t>、</w:t>
      </w:r>
      <w:r>
        <w:rPr>
          <w:rtl w:val="0"/>
          <w:lang w:val="zh-TW" w:eastAsia="zh-TW"/>
        </w:rPr>
        <w:t>8%</w:t>
      </w:r>
      <w:r>
        <w:rPr>
          <w:rtl w:val="0"/>
          <w:lang w:val="zh-TW" w:eastAsia="zh-TW"/>
        </w:rPr>
        <w:t>、</w:t>
      </w:r>
      <w:r>
        <w:rPr>
          <w:rtl w:val="0"/>
          <w:lang w:val="zh-TW" w:eastAsia="zh-TW"/>
        </w:rPr>
        <w:t>7%</w:t>
      </w:r>
      <w:r>
        <w:rPr>
          <w:rtl w:val="0"/>
          <w:lang w:val="zh-TW" w:eastAsia="zh-TW"/>
        </w:rPr>
        <w:t>、</w:t>
      </w:r>
      <w:r>
        <w:rPr>
          <w:rtl w:val="0"/>
          <w:lang w:val="zh-TW" w:eastAsia="zh-TW"/>
        </w:rPr>
        <w:t>6%</w:t>
      </w:r>
      <w:r>
        <w:rPr>
          <w:rtl w:val="0"/>
          <w:lang w:val="zh-TW" w:eastAsia="zh-TW"/>
        </w:rPr>
        <w:t>和</w:t>
      </w:r>
      <w:r>
        <w:rPr>
          <w:rtl w:val="0"/>
          <w:lang w:val="zh-TW" w:eastAsia="zh-TW"/>
        </w:rPr>
        <w:t>5%</w:t>
      </w:r>
      <w:r>
        <w:rPr>
          <w:rtl w:val="0"/>
          <w:lang w:val="zh-TW" w:eastAsia="zh-TW"/>
        </w:rPr>
        <w:t>。可以看到，海归群体的生源地主要集中在东部沿海区域，从社会发展、经济发展和人口规模上来看，这些省市较中西部地区仍具有一定优势。然而，从海归群体的现居住地来看，省市之间的人才聚集能力区别显著，即有些省市在该过程中成为人才磁铁，吸引和集聚海归，另一些省市则在人才竞争中面临海归人才流失的挑战。</w:t>
      </w:r>
    </w:p>
    <w:p>
      <w:pPr>
        <w:pStyle w:val="Normal.0"/>
        <w:ind w:firstLine="420"/>
      </w:pPr>
      <w:r>
        <w:rPr>
          <w:rtl w:val="0"/>
          <w:lang w:val="zh-TW" w:eastAsia="zh-TW"/>
        </w:rPr>
        <w:t>从海归群体的现居住地来看，北京、上海、广东是省市间海归人才竞争中的受益者，海归群体迁入数量分别占海归群体总量的</w:t>
      </w:r>
      <w:r>
        <w:rPr>
          <w:rtl w:val="0"/>
          <w:lang w:val="en-US"/>
        </w:rPr>
        <w:t>12%</w:t>
      </w:r>
      <w:r>
        <w:rPr>
          <w:rtl w:val="0"/>
          <w:lang w:val="zh-TW" w:eastAsia="zh-TW"/>
        </w:rPr>
        <w:t>、</w:t>
      </w:r>
      <w:r>
        <w:rPr>
          <w:rtl w:val="0"/>
          <w:lang w:val="en-US"/>
        </w:rPr>
        <w:t>8%</w:t>
      </w:r>
      <w:r>
        <w:rPr>
          <w:rtl w:val="0"/>
          <w:lang w:val="zh-TW" w:eastAsia="zh-TW"/>
        </w:rPr>
        <w:t>和</w:t>
      </w:r>
      <w:r>
        <w:rPr>
          <w:rtl w:val="0"/>
          <w:lang w:val="en-US"/>
        </w:rPr>
        <w:t>6%</w:t>
      </w:r>
      <w:r>
        <w:rPr>
          <w:rtl w:val="0"/>
          <w:lang w:val="zh-TW" w:eastAsia="zh-TW"/>
        </w:rPr>
        <w:t>，即在假设生源地为北京、上海和广东的海归群体在回国后均未发生迁移</w:t>
      </w:r>
      <w:r>
        <w:rPr>
          <w:vertAlign w:val="superscript"/>
          <w:lang w:val="en-US"/>
        </w:rPr>
        <w:footnoteReference w:id="1"/>
      </w:r>
      <w:r>
        <w:rPr>
          <w:rtl w:val="0"/>
          <w:lang w:val="zh-TW" w:eastAsia="zh-TW"/>
        </w:rPr>
        <w:t>的基础上，有额外</w:t>
      </w:r>
      <w:r>
        <w:rPr>
          <w:rtl w:val="0"/>
          <w:lang w:val="en-US"/>
        </w:rPr>
        <w:t>12%</w:t>
      </w:r>
      <w:r>
        <w:rPr>
          <w:rtl w:val="0"/>
          <w:lang w:val="zh-TW" w:eastAsia="zh-TW"/>
        </w:rPr>
        <w:t>、</w:t>
      </w:r>
      <w:r>
        <w:rPr>
          <w:rtl w:val="0"/>
          <w:lang w:val="en-US"/>
        </w:rPr>
        <w:t>8%</w:t>
      </w:r>
      <w:r>
        <w:rPr>
          <w:rtl w:val="0"/>
          <w:lang w:val="zh-TW" w:eastAsia="zh-TW"/>
        </w:rPr>
        <w:t>和</w:t>
      </w:r>
      <w:r>
        <w:rPr>
          <w:rtl w:val="0"/>
          <w:lang w:val="en-US"/>
        </w:rPr>
        <w:t>6%</w:t>
      </w:r>
      <w:r>
        <w:rPr>
          <w:rtl w:val="0"/>
          <w:lang w:val="zh-TW" w:eastAsia="zh-TW"/>
        </w:rPr>
        <w:t>的其他生源地海归群体迁移到这三个省市；从增幅上来看则更加明显，北京、上海和广东海归群体净增幅分别为</w:t>
      </w:r>
      <w:r>
        <w:rPr>
          <w:rtl w:val="0"/>
          <w:lang w:val="en-US"/>
        </w:rPr>
        <w:t>141%</w:t>
      </w:r>
      <w:r>
        <w:rPr>
          <w:rtl w:val="0"/>
          <w:lang w:val="zh-TW" w:eastAsia="zh-TW"/>
        </w:rPr>
        <w:t>、</w:t>
      </w:r>
      <w:r>
        <w:rPr>
          <w:rtl w:val="0"/>
          <w:lang w:val="en-US"/>
        </w:rPr>
        <w:t>278%</w:t>
      </w:r>
      <w:r>
        <w:rPr>
          <w:rtl w:val="0"/>
          <w:lang w:val="zh-TW" w:eastAsia="zh-TW"/>
        </w:rPr>
        <w:t>和</w:t>
      </w:r>
      <w:r>
        <w:rPr>
          <w:rtl w:val="0"/>
          <w:lang w:val="en-US"/>
        </w:rPr>
        <w:t>72%</w:t>
      </w:r>
      <w:r>
        <w:rPr>
          <w:rtl w:val="0"/>
          <w:lang w:val="zh-TW" w:eastAsia="zh-TW"/>
        </w:rPr>
        <w:t>，即在假设生源地为北京的海归群体未发生迁移的基础上，有超过该群体</w:t>
      </w:r>
      <w:r>
        <w:rPr>
          <w:rtl w:val="0"/>
          <w:lang w:val="en-US"/>
        </w:rPr>
        <w:t>1.4</w:t>
      </w:r>
      <w:r>
        <w:rPr>
          <w:rtl w:val="0"/>
          <w:lang w:val="zh-TW" w:eastAsia="zh-TW"/>
        </w:rPr>
        <w:t>倍的其他生源地海归群体选择在北京发展，而这一现象在上海则接近</w:t>
      </w:r>
      <w:r>
        <w:rPr>
          <w:rtl w:val="0"/>
          <w:lang w:val="en-US"/>
        </w:rPr>
        <w:t>3</w:t>
      </w:r>
      <w:r>
        <w:rPr>
          <w:rtl w:val="0"/>
          <w:lang w:val="zh-TW" w:eastAsia="zh-TW"/>
        </w:rPr>
        <w:t>倍。</w:t>
      </w:r>
    </w:p>
    <w:p>
      <w:pPr>
        <w:pStyle w:val="Normal.0"/>
        <w:ind w:firstLine="420"/>
      </w:pPr>
      <w:r>
        <w:rPr>
          <w:rtl w:val="0"/>
          <w:lang w:val="zh-TW" w:eastAsia="zh-TW"/>
        </w:rPr>
        <w:t>海归群体流失方面</w:t>
      </w:r>
      <w:r>
        <w:rPr>
          <w:vertAlign w:val="superscript"/>
          <w:lang w:val="en-US"/>
        </w:rPr>
        <w:footnoteReference w:id="2"/>
      </w:r>
      <w:r>
        <w:rPr>
          <w:rtl w:val="0"/>
          <w:lang w:val="zh-TW" w:eastAsia="zh-TW"/>
        </w:rPr>
        <w:t>，黑龙江、山西、河南、河北和湖南流失比例较大，分别为</w:t>
      </w:r>
      <w:r>
        <w:rPr>
          <w:rtl w:val="0"/>
          <w:lang w:val="en-US"/>
        </w:rPr>
        <w:t>81%</w:t>
      </w:r>
      <w:r>
        <w:rPr>
          <w:rtl w:val="0"/>
          <w:lang w:val="zh-TW" w:eastAsia="zh-TW"/>
        </w:rPr>
        <w:t>、</w:t>
      </w:r>
      <w:r>
        <w:rPr>
          <w:rtl w:val="0"/>
          <w:lang w:val="en-US"/>
        </w:rPr>
        <w:t>60%</w:t>
      </w:r>
      <w:r>
        <w:rPr>
          <w:rtl w:val="0"/>
          <w:lang w:val="zh-TW" w:eastAsia="zh-TW"/>
        </w:rPr>
        <w:t>、</w:t>
      </w:r>
      <w:r>
        <w:rPr>
          <w:rtl w:val="0"/>
          <w:lang w:val="en-US"/>
        </w:rPr>
        <w:t>58%</w:t>
      </w:r>
      <w:r>
        <w:rPr>
          <w:rtl w:val="0"/>
          <w:lang w:val="zh-TW" w:eastAsia="zh-TW"/>
        </w:rPr>
        <w:t>、</w:t>
      </w:r>
      <w:r>
        <w:rPr>
          <w:rtl w:val="0"/>
          <w:lang w:val="en-US"/>
        </w:rPr>
        <w:t>49%</w:t>
      </w:r>
      <w:r>
        <w:rPr>
          <w:rtl w:val="0"/>
          <w:lang w:val="zh-TW" w:eastAsia="zh-TW"/>
        </w:rPr>
        <w:t>和</w:t>
      </w:r>
      <w:r>
        <w:rPr>
          <w:rtl w:val="0"/>
          <w:lang w:val="en-US"/>
        </w:rPr>
        <w:t>46%</w:t>
      </w:r>
      <w:r>
        <w:rPr>
          <w:rtl w:val="0"/>
          <w:lang w:val="zh-TW" w:eastAsia="zh-TW"/>
        </w:rPr>
        <w:t>，东北地区和中西部地区在</w:t>
      </w:r>
      <w:r>
        <w:rPr>
          <w:rtl w:val="0"/>
          <w:lang w:val="en-US"/>
        </w:rPr>
        <w:t>“</w:t>
      </w:r>
      <w:r>
        <w:rPr>
          <w:rtl w:val="0"/>
          <w:lang w:val="zh-TW" w:eastAsia="zh-TW"/>
        </w:rPr>
        <w:t>人才大战</w:t>
      </w:r>
      <w:r>
        <w:rPr>
          <w:rtl w:val="0"/>
          <w:lang w:val="en-US"/>
        </w:rPr>
        <w:t>”</w:t>
      </w:r>
      <w:r>
        <w:rPr>
          <w:rtl w:val="0"/>
          <w:lang w:val="zh-TW" w:eastAsia="zh-TW"/>
        </w:rPr>
        <w:t>中将面临更更加严峻的挑战。</w:t>
      </w:r>
    </w:p>
    <w:p>
      <w:pPr>
        <w:pStyle w:val="Normal.0"/>
        <w:keepNext w:val="1"/>
      </w:pPr>
      <w:r>
        <w:drawing>
          <wp:inline distT="0" distB="0" distL="0" distR="0">
            <wp:extent cx="5103342" cy="6258446"/>
            <wp:effectExtent l="0" t="0" r="0" b="0"/>
            <wp:docPr id="1073741841" name="officeArt object"/>
            <wp:cNvGraphicFramePr/>
            <a:graphic xmlns:a="http://schemas.openxmlformats.org/drawingml/2006/main">
              <a:graphicData uri="http://schemas.openxmlformats.org/drawingml/2006/chart">
                <c:chart xmlns:c="http://schemas.openxmlformats.org/drawingml/2006/chart" r:id="rId20"/>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17 </w:t>
      </w:r>
      <w:r>
        <w:rPr>
          <w:rFonts w:ascii="黑体" w:cs="黑体" w:hAnsi="黑体" w:eastAsia="黑体"/>
          <w:rtl w:val="0"/>
          <w:lang w:val="zh-TW" w:eastAsia="zh-TW"/>
        </w:rPr>
        <w:t>海归群体生源地与现居住地对比</w:t>
      </w:r>
    </w:p>
    <w:p>
      <w:pPr>
        <w:pStyle w:val="Normal.0"/>
        <w:ind w:firstLine="420"/>
      </w:pPr>
      <w:r>
        <w:rPr>
          <w:rtl w:val="0"/>
          <w:lang w:val="zh-TW" w:eastAsia="zh-TW"/>
        </w:rPr>
        <w:t>把未发生迁移的数据与发生迁移的数据进行比对发现，</w:t>
      </w:r>
      <w:r>
        <w:rPr>
          <w:rtl w:val="0"/>
          <w:lang w:val="en-US"/>
        </w:rPr>
        <w:t>61%</w:t>
      </w:r>
      <w:r>
        <w:rPr>
          <w:rtl w:val="0"/>
          <w:lang w:val="zh-TW" w:eastAsia="zh-TW"/>
        </w:rPr>
        <w:t>的海归群体在回国后并未发生迁移，而是更多地回到自己的家乡发展。其他迁移的海归人群中，有</w:t>
      </w:r>
      <w:r>
        <w:rPr>
          <w:rtl w:val="0"/>
          <w:lang w:val="en-US"/>
        </w:rPr>
        <w:t>13%</w:t>
      </w:r>
      <w:r>
        <w:rPr>
          <w:rtl w:val="0"/>
          <w:lang w:val="zh-TW" w:eastAsia="zh-TW"/>
        </w:rPr>
        <w:t>的海归迁往北京，</w:t>
      </w:r>
      <w:r>
        <w:rPr>
          <w:rtl w:val="0"/>
          <w:lang w:val="en-US"/>
        </w:rPr>
        <w:t>8%</w:t>
      </w:r>
      <w:r>
        <w:rPr>
          <w:rtl w:val="0"/>
          <w:lang w:val="zh-TW" w:eastAsia="zh-TW"/>
        </w:rPr>
        <w:t>的海归群体迁往上海，</w:t>
      </w:r>
      <w:r>
        <w:rPr>
          <w:rtl w:val="0"/>
          <w:lang w:val="en-US"/>
        </w:rPr>
        <w:t>7%</w:t>
      </w:r>
      <w:r>
        <w:rPr>
          <w:rtl w:val="0"/>
          <w:lang w:val="zh-TW" w:eastAsia="zh-TW"/>
        </w:rPr>
        <w:t>的海归群体迁往广东，与上图中假设北京、上海、广东无迁出情况的比例相比，北京、广东生源的海归群体迁出比例实际仅为</w:t>
      </w:r>
      <w:r>
        <w:rPr>
          <w:rtl w:val="0"/>
          <w:lang w:val="en-US"/>
        </w:rPr>
        <w:t>1%</w:t>
      </w:r>
      <w:r>
        <w:rPr>
          <w:rtl w:val="0"/>
          <w:lang w:val="zh-TW" w:eastAsia="zh-TW"/>
        </w:rPr>
        <w:t>，上海生源的海归群体迁出比例更小。</w:t>
      </w:r>
    </w:p>
    <w:p>
      <w:pPr>
        <w:pStyle w:val="Normal.0"/>
        <w:keepNext w:val="1"/>
      </w:pPr>
      <w:r>
        <w:drawing>
          <wp:inline distT="0" distB="0" distL="0" distR="0">
            <wp:extent cx="4079915" cy="4079915"/>
            <wp:effectExtent l="0" t="0" r="0" b="0"/>
            <wp:docPr id="1073741842" name="officeArt object"/>
            <wp:cNvGraphicFramePr/>
            <a:graphic xmlns:a="http://schemas.openxmlformats.org/drawingml/2006/main">
              <a:graphicData uri="http://schemas.openxmlformats.org/drawingml/2006/chart">
                <c:chart xmlns:c="http://schemas.openxmlformats.org/drawingml/2006/chart" r:id="rId21"/>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18 </w:t>
      </w:r>
      <w:r>
        <w:rPr>
          <w:rFonts w:ascii="黑体" w:cs="黑体" w:hAnsi="黑体" w:eastAsia="黑体"/>
          <w:rtl w:val="0"/>
          <w:lang w:val="zh-TW" w:eastAsia="zh-TW"/>
        </w:rPr>
        <w:t>海归群体的整体迁移情况</w:t>
      </w:r>
    </w:p>
    <w:p>
      <w:pPr>
        <w:pStyle w:val="Normal.0"/>
        <w:ind w:firstLine="420"/>
      </w:pPr>
      <w:r>
        <w:rPr>
          <w:rtl w:val="0"/>
          <w:lang w:val="zh-TW" w:eastAsia="zh-TW"/>
        </w:rPr>
        <w:t>从非北京生源海归群体迁入北京的省市分布来看，河北、山东、山西、辽宁、河南、天津、吉林、陕西等省市是主要的输送省份。其中，河北、山东、山西占非北京生源海归群体迁入北京总量比例的前三位，分别为</w:t>
      </w:r>
      <w:r>
        <w:rPr>
          <w:rtl w:val="0"/>
          <w:lang w:val="en-US"/>
        </w:rPr>
        <w:t>17%</w:t>
      </w:r>
      <w:r>
        <w:rPr>
          <w:rtl w:val="0"/>
          <w:lang w:val="zh-TW" w:eastAsia="zh-TW"/>
        </w:rPr>
        <w:t>、</w:t>
      </w:r>
      <w:r>
        <w:rPr>
          <w:rtl w:val="0"/>
          <w:lang w:val="en-US"/>
        </w:rPr>
        <w:t>11%</w:t>
      </w:r>
      <w:r>
        <w:rPr>
          <w:rtl w:val="0"/>
          <w:lang w:val="zh-TW" w:eastAsia="zh-TW"/>
        </w:rPr>
        <w:t>、</w:t>
      </w:r>
      <w:r>
        <w:rPr>
          <w:rtl w:val="0"/>
          <w:lang w:val="en-US"/>
        </w:rPr>
        <w:t>9%</w:t>
      </w:r>
      <w:r>
        <w:rPr>
          <w:rtl w:val="0"/>
          <w:lang w:val="zh-TW" w:eastAsia="zh-TW"/>
        </w:rPr>
        <w:t>。可以看到，北京作为国家的首都，对北方人才、乃至中西部人才具有明显的吸引力。</w:t>
      </w:r>
    </w:p>
    <w:p>
      <w:pPr>
        <w:pStyle w:val="Normal.0"/>
        <w:keepNext w:val="1"/>
      </w:pPr>
      <w:r>
        <w:drawing>
          <wp:inline distT="0" distB="0" distL="0" distR="0">
            <wp:extent cx="3861423" cy="3861423"/>
            <wp:effectExtent l="0" t="0" r="0" b="0"/>
            <wp:docPr id="1073741843" name="officeArt object"/>
            <wp:cNvGraphicFramePr/>
            <a:graphic xmlns:a="http://schemas.openxmlformats.org/drawingml/2006/main">
              <a:graphicData uri="http://schemas.openxmlformats.org/drawingml/2006/chart">
                <c:chart xmlns:c="http://schemas.openxmlformats.org/drawingml/2006/chart" r:id="rId22"/>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19 </w:t>
      </w:r>
      <w:r>
        <w:rPr>
          <w:rFonts w:ascii="黑体" w:cs="黑体" w:hAnsi="黑体" w:eastAsia="黑体"/>
          <w:rtl w:val="0"/>
          <w:lang w:val="zh-TW" w:eastAsia="zh-TW"/>
        </w:rPr>
        <w:t>非北京生源地海归群体迁入北京的情况</w:t>
      </w:r>
    </w:p>
    <w:p>
      <w:pPr>
        <w:pStyle w:val="Normal.0"/>
        <w:ind w:firstLine="420"/>
      </w:pPr>
      <w:r>
        <w:rPr>
          <w:rtl w:val="0"/>
          <w:lang w:val="zh-TW" w:eastAsia="zh-TW"/>
        </w:rPr>
        <w:t>从非上海生源海归群体迁入上海的省市分布来看，河南、江苏、安徽、浙江、辽宁和黑龙江等省市是主要的输送省份。其中，河南、江苏、安徽占非上海生源海归群体迁入上海总量比例的前三位，分别为</w:t>
      </w:r>
      <w:r>
        <w:rPr>
          <w:rtl w:val="0"/>
          <w:lang w:val="en-US"/>
        </w:rPr>
        <w:t>12%</w:t>
      </w:r>
      <w:r>
        <w:rPr>
          <w:rtl w:val="0"/>
          <w:lang w:val="zh-TW" w:eastAsia="zh-TW"/>
        </w:rPr>
        <w:t>、</w:t>
      </w:r>
      <w:r>
        <w:rPr>
          <w:rtl w:val="0"/>
          <w:lang w:val="en-US"/>
        </w:rPr>
        <w:t>9%</w:t>
      </w:r>
      <w:r>
        <w:rPr>
          <w:rtl w:val="0"/>
          <w:lang w:val="zh-TW" w:eastAsia="zh-TW"/>
        </w:rPr>
        <w:t>、</w:t>
      </w:r>
      <w:r>
        <w:rPr>
          <w:rtl w:val="0"/>
          <w:lang w:val="en-US"/>
        </w:rPr>
        <w:t>7%</w:t>
      </w:r>
      <w:r>
        <w:rPr>
          <w:rtl w:val="0"/>
          <w:lang w:val="zh-TW" w:eastAsia="zh-TW"/>
        </w:rPr>
        <w:t>。可以看到，上海除对周边省份海归人才具有显著吸引力之外，更是生源地为河南的海归群体的主要选择。</w:t>
      </w:r>
    </w:p>
    <w:p>
      <w:pPr>
        <w:pStyle w:val="Normal.0"/>
        <w:keepNext w:val="1"/>
      </w:pPr>
      <w:r>
        <w:drawing>
          <wp:inline distT="0" distB="0" distL="0" distR="0">
            <wp:extent cx="3804620" cy="3804620"/>
            <wp:effectExtent l="0" t="0" r="0" b="0"/>
            <wp:docPr id="1073741844" name="officeArt object"/>
            <wp:cNvGraphicFramePr/>
            <a:graphic xmlns:a="http://schemas.openxmlformats.org/drawingml/2006/main">
              <a:graphicData uri="http://schemas.openxmlformats.org/drawingml/2006/chart">
                <c:chart xmlns:c="http://schemas.openxmlformats.org/drawingml/2006/chart" r:id="rId23"/>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20 </w:t>
      </w:r>
      <w:r>
        <w:rPr>
          <w:rFonts w:ascii="黑体" w:cs="黑体" w:hAnsi="黑体" w:eastAsia="黑体"/>
          <w:rtl w:val="0"/>
          <w:lang w:val="zh-TW" w:eastAsia="zh-TW"/>
        </w:rPr>
        <w:t>非上海生源地海归群体迁入上海的情况</w:t>
      </w:r>
    </w:p>
    <w:p>
      <w:pPr>
        <w:pStyle w:val="Normal.0"/>
        <w:ind w:firstLine="420"/>
      </w:pPr>
      <w:r>
        <w:rPr>
          <w:rtl w:val="0"/>
          <w:lang w:val="zh-TW" w:eastAsia="zh-TW"/>
        </w:rPr>
        <w:t>从非广东生源海归群体迁入广东的省市分布来看，湖南、广西、湖北、福建、江苏、江西等省市是主要的输送省份。其中，湖南、广西和湖北占非广东生源海归群体迁入广东总量比例的前三位，分别为</w:t>
      </w:r>
      <w:r>
        <w:rPr>
          <w:rtl w:val="0"/>
          <w:lang w:val="en-US"/>
        </w:rPr>
        <w:t>17%</w:t>
      </w:r>
      <w:r>
        <w:rPr>
          <w:rtl w:val="0"/>
          <w:lang w:val="zh-TW" w:eastAsia="zh-TW"/>
        </w:rPr>
        <w:t>、</w:t>
      </w:r>
      <w:r>
        <w:rPr>
          <w:rtl w:val="0"/>
          <w:lang w:val="en-US"/>
        </w:rPr>
        <w:t>11%</w:t>
      </w:r>
      <w:r>
        <w:rPr>
          <w:rtl w:val="0"/>
          <w:lang w:val="zh-TW" w:eastAsia="zh-TW"/>
        </w:rPr>
        <w:t>、</w:t>
      </w:r>
      <w:r>
        <w:rPr>
          <w:rtl w:val="0"/>
          <w:lang w:val="en-US"/>
        </w:rPr>
        <w:t>11%</w:t>
      </w:r>
      <w:r>
        <w:rPr>
          <w:rtl w:val="0"/>
          <w:lang w:val="zh-TW" w:eastAsia="zh-TW"/>
        </w:rPr>
        <w:t>。</w:t>
      </w:r>
    </w:p>
    <w:p>
      <w:pPr>
        <w:pStyle w:val="Normal.0"/>
        <w:keepNext w:val="1"/>
      </w:pPr>
      <w:r>
        <w:drawing>
          <wp:inline distT="0" distB="0" distL="0" distR="0">
            <wp:extent cx="3953023" cy="3953023"/>
            <wp:effectExtent l="0" t="0" r="0" b="0"/>
            <wp:docPr id="1073741845" name="officeArt object"/>
            <wp:cNvGraphicFramePr/>
            <a:graphic xmlns:a="http://schemas.openxmlformats.org/drawingml/2006/main">
              <a:graphicData uri="http://schemas.openxmlformats.org/drawingml/2006/chart">
                <c:chart xmlns:c="http://schemas.openxmlformats.org/drawingml/2006/chart" r:id="rId24"/>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21 </w:t>
      </w:r>
      <w:r>
        <w:rPr>
          <w:rFonts w:ascii="黑体" w:cs="黑体" w:hAnsi="黑体" w:eastAsia="黑体"/>
          <w:rtl w:val="0"/>
          <w:lang w:val="zh-TW" w:eastAsia="zh-TW"/>
        </w:rPr>
        <w:t>非广东生源地海归群体迁入广东的情况</w:t>
      </w:r>
    </w:p>
    <w:p>
      <w:pPr>
        <w:pStyle w:val="Normal.0"/>
        <w:ind w:firstLine="420"/>
      </w:pPr>
      <w:r>
        <w:rPr>
          <w:rtl w:val="0"/>
          <w:lang w:val="zh-TW" w:eastAsia="zh-TW"/>
        </w:rPr>
        <w:t>对产生迁移的海归群体进行城市选择的具体分析来看，</w:t>
      </w:r>
      <w:r>
        <w:rPr>
          <w:rtl w:val="0"/>
          <w:lang w:val="en-US"/>
        </w:rPr>
        <w:t>“</w:t>
      </w:r>
      <w:r>
        <w:rPr>
          <w:rtl w:val="0"/>
          <w:lang w:val="zh-TW" w:eastAsia="zh-TW"/>
        </w:rPr>
        <w:t>经济发展快</w:t>
      </w:r>
      <w:r>
        <w:rPr>
          <w:rtl w:val="0"/>
          <w:lang w:val="en-US"/>
        </w:rPr>
        <w:t>”</w:t>
      </w:r>
      <w:r>
        <w:rPr>
          <w:rtl w:val="0"/>
          <w:lang w:val="zh-TW" w:eastAsia="zh-TW"/>
        </w:rPr>
        <w:t>、</w:t>
      </w:r>
      <w:r>
        <w:rPr>
          <w:rtl w:val="0"/>
          <w:lang w:val="en-US"/>
        </w:rPr>
        <w:t>“</w:t>
      </w:r>
      <w:r>
        <w:rPr>
          <w:rtl w:val="0"/>
          <w:lang w:val="zh-TW" w:eastAsia="zh-TW"/>
        </w:rPr>
        <w:t>国际化程度高</w:t>
      </w:r>
      <w:r>
        <w:rPr>
          <w:rtl w:val="0"/>
          <w:lang w:val="en-US"/>
        </w:rPr>
        <w:t>”</w:t>
      </w:r>
      <w:r>
        <w:rPr>
          <w:rtl w:val="0"/>
          <w:lang w:val="zh-TW" w:eastAsia="zh-TW"/>
        </w:rPr>
        <w:t>、</w:t>
      </w:r>
      <w:r>
        <w:rPr>
          <w:rtl w:val="0"/>
          <w:lang w:val="en-US"/>
        </w:rPr>
        <w:t>“</w:t>
      </w:r>
      <w:r>
        <w:rPr>
          <w:rtl w:val="0"/>
          <w:lang w:val="zh-TW" w:eastAsia="zh-TW"/>
        </w:rPr>
        <w:t>具有多元文化，包容性强</w:t>
      </w:r>
      <w:r>
        <w:rPr>
          <w:rtl w:val="0"/>
          <w:lang w:val="en-US"/>
        </w:rPr>
        <w:t>”</w:t>
      </w:r>
      <w:r>
        <w:rPr>
          <w:rtl w:val="0"/>
          <w:lang w:val="zh-TW" w:eastAsia="zh-TW"/>
        </w:rPr>
        <w:t>、</w:t>
      </w:r>
      <w:r>
        <w:rPr>
          <w:rtl w:val="0"/>
          <w:lang w:val="en-US"/>
        </w:rPr>
        <w:t>“</w:t>
      </w:r>
      <w:r>
        <w:rPr>
          <w:rtl w:val="0"/>
          <w:lang w:val="zh-TW" w:eastAsia="zh-TW"/>
        </w:rPr>
        <w:t>产业基础好</w:t>
      </w:r>
      <w:r>
        <w:rPr>
          <w:rtl w:val="0"/>
          <w:lang w:val="en-US"/>
        </w:rPr>
        <w:t>”</w:t>
      </w:r>
      <w:r>
        <w:rPr>
          <w:rtl w:val="0"/>
          <w:lang w:val="zh-TW" w:eastAsia="zh-TW"/>
        </w:rPr>
        <w:t>为海归群体最为关注的城市要素，关注度分别为</w:t>
      </w:r>
      <w:r>
        <w:rPr>
          <w:rtl w:val="0"/>
          <w:lang w:val="en-US"/>
        </w:rPr>
        <w:t>56%</w:t>
      </w:r>
      <w:r>
        <w:rPr>
          <w:rtl w:val="0"/>
          <w:lang w:val="zh-TW" w:eastAsia="zh-TW"/>
        </w:rPr>
        <w:t>、</w:t>
      </w:r>
      <w:r>
        <w:rPr>
          <w:rtl w:val="0"/>
          <w:lang w:val="en-US"/>
        </w:rPr>
        <w:t>38%</w:t>
      </w:r>
      <w:r>
        <w:rPr>
          <w:rtl w:val="0"/>
          <w:lang w:val="zh-TW" w:eastAsia="zh-TW"/>
        </w:rPr>
        <w:t>、</w:t>
      </w:r>
      <w:r>
        <w:rPr>
          <w:rtl w:val="0"/>
          <w:lang w:val="en-US"/>
        </w:rPr>
        <w:t>34%</w:t>
      </w:r>
      <w:r>
        <w:rPr>
          <w:rtl w:val="0"/>
          <w:lang w:val="zh-TW" w:eastAsia="zh-TW"/>
        </w:rPr>
        <w:t>和</w:t>
      </w:r>
      <w:r>
        <w:rPr>
          <w:rtl w:val="0"/>
          <w:lang w:val="en-US"/>
        </w:rPr>
        <w:t>18%</w:t>
      </w:r>
      <w:r>
        <w:rPr>
          <w:rtl w:val="0"/>
          <w:lang w:val="zh-TW" w:eastAsia="zh-TW"/>
        </w:rPr>
        <w:t>。从性别差异看，除对</w:t>
      </w:r>
      <w:r>
        <w:rPr>
          <w:rtl w:val="0"/>
          <w:lang w:val="en-US"/>
        </w:rPr>
        <w:t>“</w:t>
      </w:r>
      <w:r>
        <w:rPr>
          <w:rtl w:val="0"/>
          <w:lang w:val="zh-TW" w:eastAsia="zh-TW"/>
        </w:rPr>
        <w:t>经济发展快</w:t>
      </w:r>
      <w:r>
        <w:rPr>
          <w:rtl w:val="0"/>
          <w:lang w:val="en-US"/>
        </w:rPr>
        <w:t>”</w:t>
      </w:r>
      <w:r>
        <w:rPr>
          <w:rtl w:val="0"/>
          <w:lang w:val="zh-TW" w:eastAsia="zh-TW"/>
        </w:rPr>
        <w:t>的关注程度接近以外，女性海归群体更关注</w:t>
      </w:r>
      <w:r>
        <w:rPr>
          <w:rtl w:val="0"/>
          <w:lang w:val="en-US"/>
        </w:rPr>
        <w:t>“</w:t>
      </w:r>
      <w:r>
        <w:rPr>
          <w:rtl w:val="0"/>
          <w:lang w:val="zh-TW" w:eastAsia="zh-TW"/>
        </w:rPr>
        <w:t>国际化程度高</w:t>
      </w:r>
      <w:r>
        <w:rPr>
          <w:rtl w:val="0"/>
          <w:lang w:val="en-US"/>
        </w:rPr>
        <w:t>”</w:t>
      </w:r>
      <w:r>
        <w:rPr>
          <w:rtl w:val="0"/>
          <w:lang w:val="zh-TW" w:eastAsia="zh-TW"/>
        </w:rPr>
        <w:t>、</w:t>
      </w:r>
      <w:r>
        <w:rPr>
          <w:rtl w:val="0"/>
          <w:lang w:val="en-US"/>
        </w:rPr>
        <w:t>“</w:t>
      </w:r>
      <w:r>
        <w:rPr>
          <w:rtl w:val="0"/>
          <w:lang w:val="zh-TW" w:eastAsia="zh-TW"/>
        </w:rPr>
        <w:t>具有多元文化，包容性强</w:t>
      </w:r>
      <w:r>
        <w:rPr>
          <w:rtl w:val="0"/>
          <w:lang w:val="en-US"/>
        </w:rPr>
        <w:t>”</w:t>
      </w:r>
      <w:r>
        <w:rPr>
          <w:rtl w:val="0"/>
          <w:lang w:val="zh-TW" w:eastAsia="zh-TW"/>
        </w:rPr>
        <w:t>，分别比男性高出</w:t>
      </w:r>
      <w:r>
        <w:rPr>
          <w:rtl w:val="0"/>
          <w:lang w:val="en-US"/>
        </w:rPr>
        <w:t>8</w:t>
      </w:r>
      <w:r>
        <w:rPr>
          <w:rtl w:val="0"/>
          <w:lang w:val="zh-TW" w:eastAsia="zh-TW"/>
        </w:rPr>
        <w:t>个百分点和</w:t>
      </w:r>
      <w:r>
        <w:rPr>
          <w:rtl w:val="0"/>
          <w:lang w:val="en-US"/>
        </w:rPr>
        <w:t>12</w:t>
      </w:r>
      <w:r>
        <w:rPr>
          <w:rtl w:val="0"/>
          <w:lang w:val="zh-TW" w:eastAsia="zh-TW"/>
        </w:rPr>
        <w:t>个百分点，而男性海归群体则更关注</w:t>
      </w:r>
      <w:r>
        <w:rPr>
          <w:rtl w:val="0"/>
          <w:lang w:val="en-US"/>
        </w:rPr>
        <w:t>“</w:t>
      </w:r>
      <w:r>
        <w:rPr>
          <w:rtl w:val="0"/>
          <w:lang w:val="zh-TW" w:eastAsia="zh-TW"/>
        </w:rPr>
        <w:t>产业基础好</w:t>
      </w:r>
      <w:r>
        <w:rPr>
          <w:rtl w:val="0"/>
          <w:lang w:val="en-US"/>
        </w:rPr>
        <w:t>”</w:t>
      </w:r>
      <w:r>
        <w:rPr>
          <w:rtl w:val="0"/>
          <w:lang w:val="zh-TW" w:eastAsia="zh-TW"/>
        </w:rPr>
        <w:t>，比女性高出</w:t>
      </w:r>
      <w:r>
        <w:rPr>
          <w:rtl w:val="0"/>
          <w:lang w:val="en-US"/>
        </w:rPr>
        <w:t>12</w:t>
      </w:r>
      <w:r>
        <w:rPr>
          <w:rtl w:val="0"/>
          <w:lang w:val="zh-TW" w:eastAsia="zh-TW"/>
        </w:rPr>
        <w:t>个百分点。</w:t>
      </w:r>
    </w:p>
    <w:p>
      <w:pPr>
        <w:pStyle w:val="Normal.0"/>
        <w:keepNext w:val="1"/>
      </w:pPr>
      <w:r>
        <w:drawing>
          <wp:inline distT="0" distB="0" distL="0" distR="0">
            <wp:extent cx="5185345" cy="2826588"/>
            <wp:effectExtent l="0" t="0" r="0" b="0"/>
            <wp:docPr id="1073741846" name="officeArt object"/>
            <wp:cNvGraphicFramePr/>
            <a:graphic xmlns:a="http://schemas.openxmlformats.org/drawingml/2006/main">
              <a:graphicData uri="http://schemas.openxmlformats.org/drawingml/2006/chart">
                <c:chart xmlns:c="http://schemas.openxmlformats.org/drawingml/2006/chart" r:id="rId25"/>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22 </w:t>
      </w:r>
      <w:r>
        <w:rPr>
          <w:rFonts w:ascii="黑体" w:cs="黑体" w:hAnsi="黑体" w:eastAsia="黑体"/>
          <w:rtl w:val="0"/>
          <w:lang w:val="zh-TW" w:eastAsia="zh-TW"/>
        </w:rPr>
        <w:t>发生迁移的海归群体对迁入城市选择的关注点</w:t>
      </w:r>
    </w:p>
    <w:p>
      <w:pPr>
        <w:pStyle w:val="Normal.0"/>
        <w:ind w:firstLine="420"/>
      </w:pPr>
      <w:r>
        <w:rPr>
          <w:rtl w:val="0"/>
          <w:lang w:val="zh-TW" w:eastAsia="zh-TW"/>
        </w:rPr>
        <w:t>人才，特别是具有国际视野的人才，对经济社会发展的重要性愈发重要。近年来，国内各主要城市相继出台一系列引才措施，为人才提供资金、户口、住房、社保等一系列政策优惠，掀起了</w:t>
      </w:r>
      <w:r>
        <w:rPr>
          <w:rtl w:val="0"/>
          <w:lang w:val="en-US"/>
        </w:rPr>
        <w:t>“</w:t>
      </w:r>
      <w:r>
        <w:rPr>
          <w:rtl w:val="0"/>
          <w:lang w:val="zh-TW" w:eastAsia="zh-TW"/>
        </w:rPr>
        <w:t>人才大战</w:t>
      </w:r>
      <w:r>
        <w:rPr>
          <w:rtl w:val="0"/>
          <w:lang w:val="en-US"/>
        </w:rPr>
        <w:t>”</w:t>
      </w:r>
      <w:r>
        <w:rPr>
          <w:rtl w:val="0"/>
          <w:lang w:val="zh-TW" w:eastAsia="zh-TW"/>
        </w:rPr>
        <w:t>。调查显示，海归群体</w:t>
      </w:r>
      <w:r>
        <w:rPr>
          <w:rtl w:val="0"/>
          <w:lang w:val="en-US"/>
        </w:rPr>
        <w:t>65%</w:t>
      </w:r>
      <w:r>
        <w:rPr>
          <w:rtl w:val="0"/>
          <w:lang w:val="zh-TW" w:eastAsia="zh-TW"/>
        </w:rPr>
        <w:t>的人认为人才大战</w:t>
      </w:r>
      <w:r>
        <w:rPr>
          <w:rtl w:val="0"/>
          <w:lang w:val="en-US"/>
        </w:rPr>
        <w:t>“</w:t>
      </w:r>
      <w:r>
        <w:rPr>
          <w:rtl w:val="0"/>
          <w:lang w:val="zh-TW" w:eastAsia="zh-TW"/>
        </w:rPr>
        <w:t>说明人才越来越重要，越来越受到重视</w:t>
      </w:r>
      <w:r>
        <w:rPr>
          <w:rtl w:val="0"/>
          <w:lang w:val="en-US"/>
        </w:rPr>
        <w:t>”</w:t>
      </w:r>
      <w:r>
        <w:rPr>
          <w:rtl w:val="0"/>
          <w:lang w:val="zh-TW" w:eastAsia="zh-TW"/>
        </w:rPr>
        <w:t>，对人才大战持积极的肯定态度。从人才政策目标群体的角度，</w:t>
      </w:r>
      <w:r>
        <w:rPr>
          <w:rtl w:val="0"/>
          <w:lang w:val="en-US"/>
        </w:rPr>
        <w:t>52%</w:t>
      </w:r>
      <w:r>
        <w:rPr>
          <w:rtl w:val="0"/>
          <w:lang w:val="zh-TW" w:eastAsia="zh-TW"/>
        </w:rPr>
        <w:t>的人认为</w:t>
      </w:r>
      <w:r>
        <w:rPr>
          <w:rtl w:val="0"/>
          <w:lang w:val="en-US"/>
        </w:rPr>
        <w:t>“</w:t>
      </w:r>
      <w:r>
        <w:rPr>
          <w:rtl w:val="0"/>
          <w:lang w:val="zh-TW" w:eastAsia="zh-TW"/>
        </w:rPr>
        <w:t>人才吸引政策需要加大对海归的支持力度</w:t>
      </w:r>
      <w:r>
        <w:rPr>
          <w:rtl w:val="0"/>
          <w:lang w:val="en-US"/>
        </w:rPr>
        <w:t>”</w:t>
      </w:r>
      <w:r>
        <w:rPr>
          <w:rtl w:val="0"/>
          <w:lang w:val="zh-TW" w:eastAsia="zh-TW"/>
        </w:rPr>
        <w:t>，这一方面说明专门吸引海归人才的政策依然有待完善，另一方面也反映出政策宣传不到位的问题。关于人才政策的影响，</w:t>
      </w:r>
      <w:r>
        <w:rPr>
          <w:rtl w:val="0"/>
          <w:lang w:val="en-US"/>
        </w:rPr>
        <w:t>35%</w:t>
      </w:r>
      <w:r>
        <w:rPr>
          <w:rtl w:val="0"/>
          <w:lang w:val="zh-TW" w:eastAsia="zh-TW"/>
        </w:rPr>
        <w:t>的人认为</w:t>
      </w:r>
      <w:r>
        <w:rPr>
          <w:rtl w:val="0"/>
          <w:lang w:val="en-US"/>
        </w:rPr>
        <w:t>“</w:t>
      </w:r>
      <w:r>
        <w:rPr>
          <w:rtl w:val="0"/>
          <w:lang w:val="zh-TW" w:eastAsia="zh-TW"/>
        </w:rPr>
        <w:t>人才政策会影响我就业</w:t>
      </w:r>
      <w:r>
        <w:rPr>
          <w:rtl w:val="0"/>
          <w:lang w:val="en-US"/>
        </w:rPr>
        <w:t>/</w:t>
      </w:r>
      <w:r>
        <w:rPr>
          <w:rtl w:val="0"/>
          <w:lang w:val="zh-TW" w:eastAsia="zh-TW"/>
        </w:rPr>
        <w:t>创业的城市选择</w:t>
      </w:r>
      <w:r>
        <w:rPr>
          <w:rtl w:val="0"/>
          <w:lang w:val="en-US"/>
        </w:rPr>
        <w:t>”</w:t>
      </w:r>
      <w:r>
        <w:rPr>
          <w:rtl w:val="0"/>
          <w:lang w:val="zh-TW" w:eastAsia="zh-TW"/>
        </w:rPr>
        <w:t>，可见政策对海归的吸引力依然很强；另有</w:t>
      </w:r>
      <w:r>
        <w:rPr>
          <w:rtl w:val="0"/>
          <w:lang w:val="en-US"/>
        </w:rPr>
        <w:t>31%</w:t>
      </w:r>
      <w:r>
        <w:rPr>
          <w:rtl w:val="0"/>
          <w:lang w:val="zh-TW" w:eastAsia="zh-TW"/>
        </w:rPr>
        <w:t>的人认为</w:t>
      </w:r>
      <w:r>
        <w:rPr>
          <w:rtl w:val="0"/>
          <w:lang w:val="en-US"/>
        </w:rPr>
        <w:t>“</w:t>
      </w:r>
      <w:r>
        <w:rPr>
          <w:rtl w:val="0"/>
          <w:lang w:val="zh-TW" w:eastAsia="zh-TW"/>
        </w:rPr>
        <w:t>人才政策颁布时间还较短，暂时看不出来更多的效果</w:t>
      </w:r>
      <w:r>
        <w:rPr>
          <w:rtl w:val="0"/>
          <w:lang w:val="en-US"/>
        </w:rPr>
        <w:t>”</w:t>
      </w:r>
      <w:r>
        <w:rPr>
          <w:rtl w:val="0"/>
          <w:lang w:val="zh-TW" w:eastAsia="zh-TW"/>
        </w:rPr>
        <w:t>。</w:t>
      </w:r>
    </w:p>
    <w:p>
      <w:pPr>
        <w:pStyle w:val="Normal.0"/>
        <w:keepNext w:val="1"/>
      </w:pPr>
      <w:r>
        <w:drawing>
          <wp:inline distT="0" distB="0" distL="0" distR="0">
            <wp:extent cx="5245754" cy="2826588"/>
            <wp:effectExtent l="0" t="0" r="0" b="0"/>
            <wp:docPr id="1073741847" name="officeArt object"/>
            <wp:cNvGraphicFramePr/>
            <a:graphic xmlns:a="http://schemas.openxmlformats.org/drawingml/2006/main">
              <a:graphicData uri="http://schemas.openxmlformats.org/drawingml/2006/chart">
                <c:chart xmlns:c="http://schemas.openxmlformats.org/drawingml/2006/chart" r:id="rId26"/>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23 </w:t>
      </w:r>
      <w:r>
        <w:rPr>
          <w:rFonts w:ascii="黑体" w:cs="黑体" w:hAnsi="黑体" w:eastAsia="黑体"/>
          <w:rtl w:val="0"/>
          <w:lang w:val="zh-TW" w:eastAsia="zh-TW"/>
        </w:rPr>
        <w:t>海归群体对于城市间</w:t>
      </w:r>
      <w:r>
        <w:rPr>
          <w:rtl w:val="0"/>
          <w:lang w:val="en-US"/>
        </w:rPr>
        <w:t>“</w:t>
      </w:r>
      <w:r>
        <w:rPr>
          <w:rFonts w:ascii="黑体" w:cs="黑体" w:hAnsi="黑体" w:eastAsia="黑体"/>
          <w:rtl w:val="0"/>
          <w:lang w:val="zh-TW" w:eastAsia="zh-TW"/>
        </w:rPr>
        <w:t>人才大战</w:t>
      </w:r>
      <w:r>
        <w:rPr>
          <w:rtl w:val="0"/>
          <w:lang w:val="en-US"/>
        </w:rPr>
        <w:t>”</w:t>
      </w:r>
      <w:r>
        <w:rPr>
          <w:rFonts w:ascii="黑体" w:cs="黑体" w:hAnsi="黑体" w:eastAsia="黑体"/>
          <w:rtl w:val="0"/>
          <w:lang w:val="zh-TW" w:eastAsia="zh-TW"/>
        </w:rPr>
        <w:t>的看法</w:t>
      </w:r>
    </w:p>
    <w:p>
      <w:pPr>
        <w:pStyle w:val="heading 2"/>
      </w:pPr>
      <w:r>
        <w:rPr>
          <w:rtl w:val="0"/>
          <w:lang w:val="zh-TW" w:eastAsia="zh-TW"/>
        </w:rPr>
        <w:t>（二）发展评价：海归群体在国内发展的优劣势明显，</w:t>
      </w:r>
      <w:r>
        <w:rPr>
          <w:rtl w:val="0"/>
          <w:lang w:val="en-US"/>
        </w:rPr>
        <w:t>“</w:t>
      </w:r>
      <w:r>
        <w:rPr>
          <w:rtl w:val="0"/>
          <w:lang w:val="zh-TW" w:eastAsia="zh-TW"/>
        </w:rPr>
        <w:t>语言及跨文化沟通能力强</w:t>
      </w:r>
      <w:r>
        <w:rPr>
          <w:rtl w:val="0"/>
          <w:lang w:val="en-US"/>
        </w:rPr>
        <w:t>”</w:t>
      </w:r>
      <w:r>
        <w:rPr>
          <w:rtl w:val="0"/>
          <w:lang w:val="zh-TW" w:eastAsia="zh-TW"/>
        </w:rPr>
        <w:t>是最大的优势，</w:t>
      </w:r>
      <w:r>
        <w:rPr>
          <w:rFonts w:ascii="Calibri" w:cs="Calibri" w:hAnsi="Calibri" w:eastAsia="Calibri"/>
          <w:rtl w:val="0"/>
          <w:lang w:val="en-US"/>
        </w:rPr>
        <w:t>“</w:t>
      </w:r>
      <w:r>
        <w:rPr>
          <w:rtl w:val="0"/>
          <w:lang w:val="zh-TW" w:eastAsia="zh-TW"/>
        </w:rPr>
        <w:t>不了解国内的就业形势和企业需求</w:t>
      </w:r>
      <w:r>
        <w:rPr>
          <w:rFonts w:ascii="Calibri" w:cs="Calibri" w:hAnsi="Calibri" w:eastAsia="Calibri"/>
          <w:rtl w:val="0"/>
          <w:lang w:val="en-US"/>
        </w:rPr>
        <w:t>”</w:t>
      </w:r>
      <w:r>
        <w:rPr>
          <w:rtl w:val="0"/>
          <w:lang w:val="zh-TW" w:eastAsia="zh-TW"/>
        </w:rPr>
        <w:t>是最主要的劣势；</w:t>
      </w:r>
      <w:r>
        <w:rPr>
          <w:rFonts w:ascii="Calibri" w:cs="Calibri" w:hAnsi="Calibri" w:eastAsia="Calibri"/>
          <w:rtl w:val="0"/>
          <w:lang w:val="en-US"/>
        </w:rPr>
        <w:t>97%</w:t>
      </w:r>
      <w:r>
        <w:rPr>
          <w:rtl w:val="0"/>
          <w:lang w:val="zh-TW" w:eastAsia="zh-TW"/>
        </w:rPr>
        <w:t>的海归能够实现社会融入；</w:t>
      </w:r>
      <w:r>
        <w:rPr>
          <w:rFonts w:ascii="Calibri" w:cs="Calibri" w:hAnsi="Calibri" w:eastAsia="Calibri"/>
          <w:rtl w:val="0"/>
          <w:lang w:val="en-US"/>
        </w:rPr>
        <w:t>“</w:t>
      </w:r>
      <w:r>
        <w:rPr>
          <w:rFonts w:ascii="Calibri" w:cs="Calibri" w:hAnsi="Calibri" w:eastAsia="Calibri"/>
          <w:rtl w:val="0"/>
          <w:lang w:val="en-US"/>
        </w:rPr>
        <w:t>4-6</w:t>
      </w:r>
      <w:r>
        <w:rPr>
          <w:rtl w:val="0"/>
          <w:lang w:val="zh-TW" w:eastAsia="zh-TW"/>
        </w:rPr>
        <w:t>年</w:t>
      </w:r>
      <w:r>
        <w:rPr>
          <w:rFonts w:ascii="Calibri" w:cs="Calibri" w:hAnsi="Calibri" w:eastAsia="Calibri"/>
          <w:rtl w:val="0"/>
          <w:lang w:val="en-US"/>
        </w:rPr>
        <w:t>”</w:t>
      </w:r>
      <w:r>
        <w:rPr>
          <w:rtl w:val="0"/>
          <w:lang w:val="zh-TW" w:eastAsia="zh-TW"/>
        </w:rPr>
        <w:t>海归可收回留学成本。</w:t>
      </w:r>
    </w:p>
    <w:p>
      <w:pPr>
        <w:pStyle w:val="Normal.0"/>
        <w:ind w:firstLine="420"/>
      </w:pPr>
      <w:r>
        <w:rPr>
          <w:rtl w:val="0"/>
          <w:lang w:val="zh-TW" w:eastAsia="zh-TW"/>
        </w:rPr>
        <w:t>海归群体在国内就业方面存在的优势主要包括</w:t>
      </w:r>
      <w:r>
        <w:rPr>
          <w:rtl w:val="0"/>
          <w:lang w:val="en-US"/>
        </w:rPr>
        <w:t>“</w:t>
      </w:r>
      <w:r>
        <w:rPr>
          <w:rtl w:val="0"/>
          <w:lang w:val="zh-TW" w:eastAsia="zh-TW"/>
        </w:rPr>
        <w:t>语言及跨文化沟通能力强</w:t>
      </w:r>
      <w:r>
        <w:rPr>
          <w:rtl w:val="0"/>
          <w:lang w:val="en-US"/>
        </w:rPr>
        <w:t>”</w:t>
      </w:r>
      <w:r>
        <w:rPr>
          <w:rtl w:val="0"/>
          <w:lang w:val="zh-TW" w:eastAsia="zh-TW"/>
        </w:rPr>
        <w:t>、</w:t>
      </w:r>
      <w:r>
        <w:rPr>
          <w:rtl w:val="0"/>
          <w:lang w:val="en-US"/>
        </w:rPr>
        <w:t>“</w:t>
      </w:r>
      <w:r>
        <w:rPr>
          <w:rtl w:val="0"/>
          <w:lang w:val="zh-TW" w:eastAsia="zh-TW"/>
        </w:rPr>
        <w:t>具有国际视野</w:t>
      </w:r>
      <w:r>
        <w:rPr>
          <w:rtl w:val="0"/>
          <w:lang w:val="en-US"/>
        </w:rPr>
        <w:t>”</w:t>
      </w:r>
      <w:r>
        <w:rPr>
          <w:rtl w:val="0"/>
          <w:lang w:val="zh-TW" w:eastAsia="zh-TW"/>
        </w:rPr>
        <w:t>和</w:t>
      </w:r>
      <w:r>
        <w:rPr>
          <w:rtl w:val="0"/>
          <w:lang w:val="en-US"/>
        </w:rPr>
        <w:t>“</w:t>
      </w:r>
      <w:r>
        <w:rPr>
          <w:rtl w:val="0"/>
          <w:lang w:val="zh-TW" w:eastAsia="zh-TW"/>
        </w:rPr>
        <w:t>生活适应能力强，更加独立</w:t>
      </w:r>
      <w:r>
        <w:rPr>
          <w:rtl w:val="0"/>
          <w:lang w:val="en-US"/>
        </w:rPr>
        <w:t>”</w:t>
      </w:r>
      <w:r>
        <w:rPr>
          <w:rtl w:val="0"/>
          <w:lang w:val="zh-TW" w:eastAsia="zh-TW"/>
        </w:rPr>
        <w:t>，选择比例分别为</w:t>
      </w:r>
      <w:r>
        <w:rPr>
          <w:rtl w:val="0"/>
          <w:lang w:val="en-US"/>
        </w:rPr>
        <w:t>73%</w:t>
      </w:r>
      <w:r>
        <w:rPr>
          <w:rtl w:val="0"/>
          <w:lang w:val="zh-TW" w:eastAsia="zh-TW"/>
        </w:rPr>
        <w:t>、</w:t>
      </w:r>
      <w:r>
        <w:rPr>
          <w:rtl w:val="0"/>
          <w:lang w:val="en-US"/>
        </w:rPr>
        <w:t>59%</w:t>
      </w:r>
      <w:r>
        <w:rPr>
          <w:rtl w:val="0"/>
          <w:lang w:val="zh-TW" w:eastAsia="zh-TW"/>
        </w:rPr>
        <w:t>和</w:t>
      </w:r>
      <w:r>
        <w:rPr>
          <w:rtl w:val="0"/>
          <w:lang w:val="en-US"/>
        </w:rPr>
        <w:t>37%</w:t>
      </w:r>
      <w:r>
        <w:rPr>
          <w:rtl w:val="0"/>
          <w:lang w:val="zh-TW" w:eastAsia="zh-TW"/>
        </w:rPr>
        <w:t>；此外，也有受访者认为海归的就业优势还包括</w:t>
      </w:r>
      <w:r>
        <w:rPr>
          <w:rtl w:val="0"/>
          <w:lang w:val="en-US"/>
        </w:rPr>
        <w:t>“</w:t>
      </w:r>
      <w:r>
        <w:rPr>
          <w:rtl w:val="0"/>
          <w:lang w:val="zh-TW" w:eastAsia="zh-TW"/>
        </w:rPr>
        <w:t>批判性思考能力强</w:t>
      </w:r>
      <w:r>
        <w:rPr>
          <w:rtl w:val="0"/>
          <w:lang w:val="en-US"/>
        </w:rPr>
        <w:t>”</w:t>
      </w:r>
      <w:r>
        <w:rPr>
          <w:rtl w:val="0"/>
          <w:lang w:val="zh-TW" w:eastAsia="zh-TW"/>
        </w:rPr>
        <w:t>（</w:t>
      </w:r>
      <w:r>
        <w:rPr>
          <w:rtl w:val="0"/>
          <w:lang w:val="en-US"/>
        </w:rPr>
        <w:t>25%</w:t>
      </w:r>
      <w:r>
        <w:rPr>
          <w:rtl w:val="0"/>
          <w:lang w:val="zh-TW" w:eastAsia="zh-TW"/>
        </w:rPr>
        <w:t>）、</w:t>
      </w:r>
      <w:r>
        <w:rPr>
          <w:rtl w:val="0"/>
          <w:lang w:val="en-US"/>
        </w:rPr>
        <w:t>“</w:t>
      </w:r>
      <w:r>
        <w:rPr>
          <w:rtl w:val="0"/>
          <w:lang w:val="zh-TW" w:eastAsia="zh-TW"/>
        </w:rPr>
        <w:t>更了解海外市场，容易在海外市场建立品牌或分销渠道</w:t>
      </w:r>
      <w:r>
        <w:rPr>
          <w:rtl w:val="0"/>
          <w:lang w:val="en-US"/>
        </w:rPr>
        <w:t>”</w:t>
      </w:r>
      <w:r>
        <w:rPr>
          <w:rtl w:val="0"/>
          <w:lang w:val="zh-TW" w:eastAsia="zh-TW"/>
        </w:rPr>
        <w:t>（</w:t>
      </w:r>
      <w:r>
        <w:rPr>
          <w:rtl w:val="0"/>
          <w:lang w:val="en-US"/>
        </w:rPr>
        <w:t>16%</w:t>
      </w:r>
      <w:r>
        <w:rPr>
          <w:rtl w:val="0"/>
          <w:lang w:val="zh-TW" w:eastAsia="zh-TW"/>
        </w:rPr>
        <w:t>）、</w:t>
      </w:r>
      <w:r>
        <w:rPr>
          <w:rtl w:val="0"/>
          <w:lang w:val="en-US"/>
        </w:rPr>
        <w:t>“</w:t>
      </w:r>
      <w:r>
        <w:rPr>
          <w:rtl w:val="0"/>
          <w:lang w:val="zh-TW" w:eastAsia="zh-TW"/>
        </w:rPr>
        <w:t>更具创新能力</w:t>
      </w:r>
      <w:r>
        <w:rPr>
          <w:rtl w:val="0"/>
          <w:lang w:val="en-US"/>
        </w:rPr>
        <w:t>”</w:t>
      </w:r>
      <w:r>
        <w:rPr>
          <w:rtl w:val="0"/>
          <w:lang w:val="zh-TW" w:eastAsia="zh-TW"/>
        </w:rPr>
        <w:t>（</w:t>
      </w:r>
      <w:r>
        <w:rPr>
          <w:rtl w:val="0"/>
          <w:lang w:val="en-US"/>
        </w:rPr>
        <w:t>16%</w:t>
      </w:r>
      <w:r>
        <w:rPr>
          <w:rtl w:val="0"/>
          <w:lang w:val="zh-TW" w:eastAsia="zh-TW"/>
        </w:rPr>
        <w:t>）等。与</w:t>
      </w:r>
      <w:r>
        <w:rPr>
          <w:rtl w:val="0"/>
          <w:lang w:val="en-US"/>
        </w:rPr>
        <w:t>2017</w:t>
      </w:r>
      <w:r>
        <w:rPr>
          <w:rtl w:val="0"/>
          <w:lang w:val="zh-TW" w:eastAsia="zh-TW"/>
        </w:rPr>
        <w:t>年相比，海归对具有国际视野的优势评判有明显下降，选择比例从</w:t>
      </w:r>
      <w:r>
        <w:rPr>
          <w:rtl w:val="0"/>
          <w:lang w:val="en-US"/>
        </w:rPr>
        <w:t>86%</w:t>
      </w:r>
      <w:r>
        <w:rPr>
          <w:rtl w:val="0"/>
          <w:lang w:val="zh-TW" w:eastAsia="zh-TW"/>
        </w:rPr>
        <w:t>下降到</w:t>
      </w:r>
      <w:r>
        <w:rPr>
          <w:rtl w:val="0"/>
          <w:lang w:val="en-US"/>
        </w:rPr>
        <w:t>59%</w:t>
      </w:r>
      <w:r>
        <w:rPr>
          <w:rtl w:val="0"/>
          <w:lang w:val="zh-TW" w:eastAsia="zh-TW"/>
        </w:rPr>
        <w:t>。当前，中国参与全球化发展不断深入，国际化发展水平不断提升，加之国内高校国际化教育理念的快速发展，使国际视野的获取范围进一步扩大，但海归群体更加直接接触到国际领域的优势仍然明显。</w:t>
      </w:r>
    </w:p>
    <w:p>
      <w:pPr>
        <w:pStyle w:val="Normal.0"/>
        <w:keepNext w:val="1"/>
      </w:pPr>
      <w:r>
        <w:drawing>
          <wp:inline distT="0" distB="0" distL="0" distR="0">
            <wp:extent cx="5075754" cy="2926814"/>
            <wp:effectExtent l="0" t="0" r="0" b="0"/>
            <wp:docPr id="1073741848" name="officeArt object"/>
            <wp:cNvGraphicFramePr/>
            <a:graphic xmlns:a="http://schemas.openxmlformats.org/drawingml/2006/main">
              <a:graphicData uri="http://schemas.openxmlformats.org/drawingml/2006/chart">
                <c:chart xmlns:c="http://schemas.openxmlformats.org/drawingml/2006/chart" r:id="rId27"/>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24 </w:t>
      </w:r>
      <w:r>
        <w:rPr>
          <w:rFonts w:ascii="黑体" w:cs="黑体" w:hAnsi="黑体" w:eastAsia="黑体"/>
          <w:rtl w:val="0"/>
          <w:lang w:val="zh-TW" w:eastAsia="zh-TW"/>
        </w:rPr>
        <w:t>海归群体在国内发展的优势</w:t>
      </w:r>
    </w:p>
    <w:p>
      <w:pPr>
        <w:pStyle w:val="Normal.0"/>
        <w:ind w:firstLine="420"/>
      </w:pPr>
      <w:r>
        <w:rPr>
          <w:rtl w:val="0"/>
          <w:lang w:val="zh-TW" w:eastAsia="zh-TW"/>
        </w:rPr>
        <w:t>在海归群体在国内就业的劣势方面，调查结果显示</w:t>
      </w:r>
      <w:r>
        <w:rPr>
          <w:rtl w:val="0"/>
          <w:lang w:val="en-US"/>
        </w:rPr>
        <w:t>“</w:t>
      </w:r>
      <w:r>
        <w:rPr>
          <w:rtl w:val="0"/>
          <w:lang w:val="zh-TW" w:eastAsia="zh-TW"/>
        </w:rPr>
        <w:t>不了解国内的就业形势和企业需求</w:t>
      </w:r>
      <w:r>
        <w:rPr>
          <w:rtl w:val="0"/>
          <w:lang w:val="en-US"/>
        </w:rPr>
        <w:t>”</w:t>
      </w:r>
      <w:r>
        <w:rPr>
          <w:rtl w:val="0"/>
          <w:lang w:val="zh-TW" w:eastAsia="zh-TW"/>
        </w:rPr>
        <w:t>是主要原因，有</w:t>
      </w:r>
      <w:r>
        <w:rPr>
          <w:rtl w:val="0"/>
          <w:lang w:val="en-US"/>
        </w:rPr>
        <w:t>59%</w:t>
      </w:r>
      <w:r>
        <w:rPr>
          <w:rtl w:val="0"/>
          <w:lang w:val="zh-TW" w:eastAsia="zh-TW"/>
        </w:rPr>
        <w:t>的海归选择了该选项；与此同时，</w:t>
      </w:r>
      <w:r>
        <w:rPr>
          <w:rtl w:val="0"/>
          <w:lang w:val="en-US"/>
        </w:rPr>
        <w:t>“</w:t>
      </w:r>
      <w:r>
        <w:rPr>
          <w:rtl w:val="0"/>
          <w:lang w:val="zh-TW" w:eastAsia="zh-TW"/>
        </w:rPr>
        <w:t>缺乏完善的职业规划</w:t>
      </w:r>
      <w:r>
        <w:rPr>
          <w:rtl w:val="0"/>
          <w:lang w:val="en-US"/>
        </w:rPr>
        <w:t>”</w:t>
      </w:r>
      <w:r>
        <w:rPr>
          <w:rtl w:val="0"/>
          <w:lang w:val="zh-TW" w:eastAsia="zh-TW"/>
        </w:rPr>
        <w:t>（</w:t>
      </w:r>
      <w:r>
        <w:rPr>
          <w:rtl w:val="0"/>
          <w:lang w:val="en-US"/>
        </w:rPr>
        <w:t>32%</w:t>
      </w:r>
      <w:r>
        <w:rPr>
          <w:rtl w:val="0"/>
          <w:lang w:val="zh-TW" w:eastAsia="zh-TW"/>
        </w:rPr>
        <w:t>）、</w:t>
      </w:r>
      <w:r>
        <w:rPr>
          <w:rtl w:val="0"/>
          <w:lang w:val="en-US"/>
        </w:rPr>
        <w:t>“</w:t>
      </w:r>
      <w:r>
        <w:rPr>
          <w:rtl w:val="0"/>
          <w:lang w:val="zh-TW" w:eastAsia="zh-TW"/>
        </w:rPr>
        <w:t>回国时间晚，错过校招季</w:t>
      </w:r>
      <w:r>
        <w:rPr>
          <w:rtl w:val="0"/>
          <w:lang w:val="en-US"/>
        </w:rPr>
        <w:t>”</w:t>
      </w:r>
      <w:r>
        <w:rPr>
          <w:rtl w:val="0"/>
          <w:lang w:val="zh-TW" w:eastAsia="zh-TW"/>
        </w:rPr>
        <w:t>（</w:t>
      </w:r>
      <w:r>
        <w:rPr>
          <w:rtl w:val="0"/>
          <w:lang w:val="en-US"/>
        </w:rPr>
        <w:t>29%</w:t>
      </w:r>
      <w:r>
        <w:rPr>
          <w:rtl w:val="0"/>
          <w:lang w:val="zh-TW" w:eastAsia="zh-TW"/>
        </w:rPr>
        <w:t>）、</w:t>
      </w:r>
      <w:r>
        <w:rPr>
          <w:rtl w:val="0"/>
          <w:lang w:val="en-US"/>
        </w:rPr>
        <w:t>“</w:t>
      </w:r>
      <w:r>
        <w:rPr>
          <w:rtl w:val="0"/>
          <w:lang w:val="zh-TW" w:eastAsia="zh-TW"/>
        </w:rPr>
        <w:t>不适应国内人情社会，难以获得发展机会</w:t>
      </w:r>
      <w:r>
        <w:rPr>
          <w:rtl w:val="0"/>
          <w:lang w:val="en-US"/>
        </w:rPr>
        <w:t>”</w:t>
      </w:r>
      <w:r>
        <w:rPr>
          <w:rtl w:val="0"/>
          <w:lang w:val="zh-TW" w:eastAsia="zh-TW"/>
        </w:rPr>
        <w:t>（</w:t>
      </w:r>
      <w:r>
        <w:rPr>
          <w:rtl w:val="0"/>
          <w:lang w:val="en-US"/>
        </w:rPr>
        <w:t>27%</w:t>
      </w:r>
      <w:r>
        <w:rPr>
          <w:rtl w:val="0"/>
          <w:lang w:val="zh-TW" w:eastAsia="zh-TW"/>
        </w:rPr>
        <w:t>）、</w:t>
      </w:r>
      <w:r>
        <w:rPr>
          <w:rtl w:val="0"/>
          <w:lang w:val="en-US"/>
        </w:rPr>
        <w:t>“</w:t>
      </w:r>
      <w:r>
        <w:rPr>
          <w:rtl w:val="0"/>
          <w:lang w:val="zh-TW" w:eastAsia="zh-TW"/>
        </w:rPr>
        <w:t>岗位海投效率低</w:t>
      </w:r>
      <w:r>
        <w:rPr>
          <w:rtl w:val="0"/>
          <w:lang w:val="en-US"/>
        </w:rPr>
        <w:t>”</w:t>
      </w:r>
      <w:r>
        <w:rPr>
          <w:rtl w:val="0"/>
          <w:lang w:val="zh-TW" w:eastAsia="zh-TW"/>
        </w:rPr>
        <w:t>（</w:t>
      </w:r>
      <w:r>
        <w:rPr>
          <w:rtl w:val="0"/>
          <w:lang w:val="en-US"/>
        </w:rPr>
        <w:t>22%</w:t>
      </w:r>
      <w:r>
        <w:rPr>
          <w:rtl w:val="0"/>
          <w:lang w:val="zh-TW" w:eastAsia="zh-TW"/>
        </w:rPr>
        <w:t>）和</w:t>
      </w:r>
      <w:r>
        <w:rPr>
          <w:rtl w:val="0"/>
          <w:lang w:val="en-US"/>
        </w:rPr>
        <w:t>“</w:t>
      </w:r>
      <w:r>
        <w:rPr>
          <w:rtl w:val="0"/>
          <w:lang w:val="zh-TW" w:eastAsia="zh-TW"/>
        </w:rPr>
        <w:t>不熟悉国内市场环境，难以找到准确的创业定位</w:t>
      </w:r>
      <w:r>
        <w:rPr>
          <w:rtl w:val="0"/>
          <w:lang w:val="en-US"/>
        </w:rPr>
        <w:t>”</w:t>
      </w:r>
      <w:r>
        <w:rPr>
          <w:rtl w:val="0"/>
          <w:lang w:val="zh-TW" w:eastAsia="zh-TW"/>
        </w:rPr>
        <w:t>（</w:t>
      </w:r>
      <w:r>
        <w:rPr>
          <w:rtl w:val="0"/>
          <w:lang w:val="en-US"/>
        </w:rPr>
        <w:t>21%</w:t>
      </w:r>
      <w:r>
        <w:rPr>
          <w:rtl w:val="0"/>
          <w:lang w:val="zh-TW" w:eastAsia="zh-TW"/>
        </w:rPr>
        <w:t>）等因素也导致海归在就业市场处于劣势。随着海归群体的日益壮大，为充分发挥其对经济发展的促进作用，特别是在创新创业和国际化发展方面，建议政府联合企业及相关部门通过开展海外政策宣讲、举办海归专场招聘会、开设海归招聘通道等方式，以减少海归的就业劣势。</w:t>
      </w:r>
    </w:p>
    <w:p>
      <w:pPr>
        <w:pStyle w:val="Normal.0"/>
        <w:keepNext w:val="1"/>
      </w:pPr>
      <w:r>
        <w:drawing>
          <wp:inline distT="0" distB="0" distL="0" distR="0">
            <wp:extent cx="5423286" cy="2826588"/>
            <wp:effectExtent l="0" t="0" r="0" b="0"/>
            <wp:docPr id="1073741849" name="officeArt object"/>
            <wp:cNvGraphicFramePr/>
            <a:graphic xmlns:a="http://schemas.openxmlformats.org/drawingml/2006/main">
              <a:graphicData uri="http://schemas.openxmlformats.org/drawingml/2006/chart">
                <c:chart xmlns:c="http://schemas.openxmlformats.org/drawingml/2006/chart" r:id="rId28"/>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25 </w:t>
      </w:r>
      <w:r>
        <w:rPr>
          <w:rFonts w:ascii="黑体" w:cs="黑体" w:hAnsi="黑体" w:eastAsia="黑体"/>
          <w:rtl w:val="0"/>
          <w:lang w:val="zh-TW" w:eastAsia="zh-TW"/>
        </w:rPr>
        <w:t>海归群体在国内发展的劣势</w:t>
      </w:r>
    </w:p>
    <w:p>
      <w:pPr>
        <w:pStyle w:val="Normal.0"/>
        <w:ind w:firstLine="420"/>
      </w:pPr>
      <w:r>
        <w:rPr>
          <w:rtl w:val="0"/>
          <w:lang w:val="zh-TW" w:eastAsia="zh-TW"/>
        </w:rPr>
        <w:t>回国后的融入情况显示，</w:t>
      </w:r>
      <w:r>
        <w:rPr>
          <w:rtl w:val="0"/>
          <w:lang w:val="en-US"/>
        </w:rPr>
        <w:t>97%</w:t>
      </w:r>
      <w:r>
        <w:rPr>
          <w:rtl w:val="0"/>
          <w:lang w:val="zh-TW" w:eastAsia="zh-TW"/>
        </w:rPr>
        <w:t>的受访者能够在回国发展中实现社会融入，其中能够</w:t>
      </w:r>
      <w:r>
        <w:rPr>
          <w:rtl w:val="0"/>
          <w:lang w:val="en-US"/>
        </w:rPr>
        <w:t>“</w:t>
      </w:r>
      <w:r>
        <w:rPr>
          <w:rtl w:val="0"/>
          <w:lang w:val="zh-TW" w:eastAsia="zh-TW"/>
        </w:rPr>
        <w:t>顺利实现融入</w:t>
      </w:r>
      <w:r>
        <w:rPr>
          <w:rtl w:val="0"/>
          <w:lang w:val="en-US"/>
        </w:rPr>
        <w:t>”</w:t>
      </w:r>
      <w:r>
        <w:rPr>
          <w:rtl w:val="0"/>
          <w:lang w:val="zh-TW" w:eastAsia="zh-TW"/>
        </w:rPr>
        <w:t>和</w:t>
      </w:r>
      <w:r>
        <w:rPr>
          <w:rtl w:val="0"/>
          <w:lang w:val="en-US"/>
        </w:rPr>
        <w:t>“</w:t>
      </w:r>
      <w:r>
        <w:rPr>
          <w:rtl w:val="0"/>
          <w:lang w:val="zh-TW" w:eastAsia="zh-TW"/>
        </w:rPr>
        <w:t>有困难，但能渐渐融入</w:t>
      </w:r>
      <w:r>
        <w:rPr>
          <w:rtl w:val="0"/>
          <w:lang w:val="en-US"/>
        </w:rPr>
        <w:t>”</w:t>
      </w:r>
      <w:r>
        <w:rPr>
          <w:rtl w:val="0"/>
          <w:lang w:val="zh-TW" w:eastAsia="zh-TW"/>
        </w:rPr>
        <w:t>的比例均占</w:t>
      </w:r>
      <w:r>
        <w:rPr>
          <w:rtl w:val="0"/>
          <w:lang w:val="en-US"/>
        </w:rPr>
        <w:t>48%</w:t>
      </w:r>
      <w:r>
        <w:rPr>
          <w:rtl w:val="0"/>
          <w:lang w:val="zh-TW" w:eastAsia="zh-TW"/>
        </w:rPr>
        <w:t>。约</w:t>
      </w:r>
      <w:r>
        <w:rPr>
          <w:rtl w:val="0"/>
          <w:lang w:val="en-US"/>
        </w:rPr>
        <w:t>3%</w:t>
      </w:r>
      <w:r>
        <w:rPr>
          <w:rtl w:val="0"/>
          <w:lang w:val="zh-TW" w:eastAsia="zh-TW"/>
        </w:rPr>
        <w:t>的受访者始终无法融入，与</w:t>
      </w:r>
      <w:r>
        <w:rPr>
          <w:rtl w:val="0"/>
          <w:lang w:val="en-US"/>
        </w:rPr>
        <w:t>2017</w:t>
      </w:r>
      <w:r>
        <w:rPr>
          <w:rtl w:val="0"/>
          <w:lang w:val="zh-TW" w:eastAsia="zh-TW"/>
        </w:rPr>
        <w:t>年的调查结果相比，始终无法融入的海归比例降低了</w:t>
      </w:r>
      <w:r>
        <w:rPr>
          <w:rtl w:val="0"/>
          <w:lang w:val="en-US"/>
        </w:rPr>
        <w:t>2</w:t>
      </w:r>
      <w:r>
        <w:rPr>
          <w:rtl w:val="0"/>
          <w:lang w:val="zh-TW" w:eastAsia="zh-TW"/>
        </w:rPr>
        <w:t>个百分点。</w:t>
      </w:r>
    </w:p>
    <w:p>
      <w:pPr>
        <w:pStyle w:val="Normal.0"/>
        <w:keepNext w:val="1"/>
      </w:pPr>
      <w:r>
        <w:drawing>
          <wp:inline distT="0" distB="0" distL="0" distR="0">
            <wp:extent cx="5185345" cy="2826588"/>
            <wp:effectExtent l="0" t="0" r="0" b="0"/>
            <wp:docPr id="1073741850" name="officeArt object"/>
            <wp:cNvGraphicFramePr/>
            <a:graphic xmlns:a="http://schemas.openxmlformats.org/drawingml/2006/main">
              <a:graphicData uri="http://schemas.openxmlformats.org/drawingml/2006/chart">
                <c:chart xmlns:c="http://schemas.openxmlformats.org/drawingml/2006/chart" r:id="rId29"/>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26 </w:t>
      </w:r>
      <w:r>
        <w:rPr>
          <w:rFonts w:ascii="黑体" w:cs="黑体" w:hAnsi="黑体" w:eastAsia="黑体"/>
          <w:rtl w:val="0"/>
          <w:lang w:val="zh-TW" w:eastAsia="zh-TW"/>
        </w:rPr>
        <w:t>海归群体回国后的社会融入程度</w:t>
      </w:r>
    </w:p>
    <w:p>
      <w:pPr>
        <w:pStyle w:val="Normal.0"/>
        <w:ind w:firstLine="420"/>
      </w:pPr>
      <w:r>
        <w:rPr>
          <w:rtl w:val="0"/>
          <w:lang w:val="zh-TW" w:eastAsia="zh-TW"/>
        </w:rPr>
        <w:t>留学成本回收方面，</w:t>
      </w:r>
      <w:r>
        <w:rPr>
          <w:rtl w:val="0"/>
          <w:lang w:val="en-US"/>
        </w:rPr>
        <w:t>35%</w:t>
      </w:r>
      <w:r>
        <w:rPr>
          <w:rtl w:val="0"/>
          <w:lang w:val="zh-TW" w:eastAsia="zh-TW"/>
        </w:rPr>
        <w:t>的海归认为</w:t>
      </w:r>
      <w:r>
        <w:rPr>
          <w:rtl w:val="0"/>
          <w:lang w:val="en-US"/>
        </w:rPr>
        <w:t>4-6</w:t>
      </w:r>
      <w:r>
        <w:rPr>
          <w:rtl w:val="0"/>
          <w:lang w:val="zh-TW" w:eastAsia="zh-TW"/>
        </w:rPr>
        <w:t>年可以收回留学的经济成本，</w:t>
      </w:r>
      <w:r>
        <w:rPr>
          <w:rtl w:val="0"/>
          <w:lang w:val="en-US"/>
        </w:rPr>
        <w:t>29%</w:t>
      </w:r>
      <w:r>
        <w:rPr>
          <w:rtl w:val="0"/>
          <w:lang w:val="zh-TW" w:eastAsia="zh-TW"/>
        </w:rPr>
        <w:t>的海归认为</w:t>
      </w:r>
      <w:r>
        <w:rPr>
          <w:rtl w:val="0"/>
          <w:lang w:val="en-US"/>
        </w:rPr>
        <w:t>1-3</w:t>
      </w:r>
      <w:r>
        <w:rPr>
          <w:rtl w:val="0"/>
          <w:lang w:val="zh-TW" w:eastAsia="zh-TW"/>
        </w:rPr>
        <w:t>年可收回成本，认为需要</w:t>
      </w:r>
      <w:r>
        <w:rPr>
          <w:rtl w:val="0"/>
          <w:lang w:val="en-US"/>
        </w:rPr>
        <w:t>7-10</w:t>
      </w:r>
      <w:r>
        <w:rPr>
          <w:rtl w:val="0"/>
          <w:lang w:val="zh-TW" w:eastAsia="zh-TW"/>
        </w:rPr>
        <w:t>年或</w:t>
      </w:r>
      <w:r>
        <w:rPr>
          <w:rtl w:val="0"/>
          <w:lang w:val="en-US"/>
        </w:rPr>
        <w:t>10</w:t>
      </w:r>
      <w:r>
        <w:rPr>
          <w:rtl w:val="0"/>
          <w:lang w:val="zh-TW" w:eastAsia="zh-TW"/>
        </w:rPr>
        <w:t>年以上收回成本的海归均有</w:t>
      </w:r>
      <w:r>
        <w:rPr>
          <w:rtl w:val="0"/>
          <w:lang w:val="en-US"/>
        </w:rPr>
        <w:t>16%</w:t>
      </w:r>
      <w:r>
        <w:rPr>
          <w:rtl w:val="0"/>
          <w:lang w:val="zh-TW" w:eastAsia="zh-TW"/>
        </w:rPr>
        <w:t>，而认为</w:t>
      </w:r>
      <w:r>
        <w:rPr>
          <w:rtl w:val="0"/>
          <w:lang w:val="en-US"/>
        </w:rPr>
        <w:t>1</w:t>
      </w:r>
      <w:r>
        <w:rPr>
          <w:rtl w:val="0"/>
          <w:lang w:val="zh-TW" w:eastAsia="zh-TW"/>
        </w:rPr>
        <w:t>年以下能收回成本的仅占</w:t>
      </w:r>
      <w:r>
        <w:rPr>
          <w:rtl w:val="0"/>
          <w:lang w:val="en-US"/>
        </w:rPr>
        <w:t>5%</w:t>
      </w:r>
      <w:r>
        <w:rPr>
          <w:rtl w:val="0"/>
          <w:lang w:val="zh-TW" w:eastAsia="zh-TW"/>
        </w:rPr>
        <w:t>。</w:t>
      </w:r>
    </w:p>
    <w:p>
      <w:pPr>
        <w:pStyle w:val="Normal.0"/>
        <w:keepNext w:val="1"/>
      </w:pPr>
      <w:r>
        <w:drawing>
          <wp:inline distT="0" distB="0" distL="0" distR="0">
            <wp:extent cx="5185345" cy="2826588"/>
            <wp:effectExtent l="0" t="0" r="0" b="0"/>
            <wp:docPr id="1073741851" name="officeArt object"/>
            <wp:cNvGraphicFramePr/>
            <a:graphic xmlns:a="http://schemas.openxmlformats.org/drawingml/2006/main">
              <a:graphicData uri="http://schemas.openxmlformats.org/drawingml/2006/chart">
                <c:chart xmlns:c="http://schemas.openxmlformats.org/drawingml/2006/chart" r:id="rId30"/>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27 </w:t>
      </w:r>
      <w:r>
        <w:rPr>
          <w:rFonts w:ascii="黑体" w:cs="黑体" w:hAnsi="黑体" w:eastAsia="黑体"/>
          <w:rtl w:val="0"/>
          <w:lang w:val="zh-TW" w:eastAsia="zh-TW"/>
        </w:rPr>
        <w:t>收回留学成本的时间（预期或实际）</w:t>
      </w:r>
    </w:p>
    <w:p>
      <w:pPr>
        <w:pStyle w:val="heading 1"/>
        <w:rPr>
          <w:lang w:val="zh-TW" w:eastAsia="zh-TW"/>
        </w:rPr>
      </w:pPr>
      <w:r>
        <w:rPr>
          <w:rFonts w:ascii="黑体" w:cs="黑体" w:hAnsi="黑体" w:eastAsia="黑体"/>
          <w:rtl w:val="0"/>
          <w:lang w:val="zh-TW" w:eastAsia="zh-TW"/>
        </w:rPr>
        <w:t>海归就业</w:t>
      </w:r>
    </w:p>
    <w:p>
      <w:pPr>
        <w:pStyle w:val="Normal.0"/>
        <w:ind w:firstLine="420"/>
      </w:pPr>
      <w:r>
        <w:rPr>
          <w:rtl w:val="0"/>
          <w:lang w:val="zh-TW" w:eastAsia="zh-TW"/>
        </w:rPr>
        <w:t>海归群体职业发展情况数据显示，</w:t>
      </w:r>
      <w:r>
        <w:rPr>
          <w:rtl w:val="0"/>
          <w:lang w:val="en-US"/>
        </w:rPr>
        <w:t>72%</w:t>
      </w:r>
      <w:r>
        <w:rPr>
          <w:rtl w:val="0"/>
          <w:lang w:val="zh-TW" w:eastAsia="zh-TW"/>
        </w:rPr>
        <w:t>的海归处于就业状态，</w:t>
      </w:r>
      <w:r>
        <w:rPr>
          <w:rtl w:val="0"/>
          <w:lang w:val="en-US"/>
        </w:rPr>
        <w:t>16%</w:t>
      </w:r>
      <w:r>
        <w:rPr>
          <w:rtl w:val="0"/>
          <w:lang w:val="zh-TW" w:eastAsia="zh-TW"/>
        </w:rPr>
        <w:t>的海归正在求职，</w:t>
      </w:r>
      <w:r>
        <w:rPr>
          <w:rtl w:val="0"/>
          <w:lang w:val="en-US"/>
        </w:rPr>
        <w:t>5%</w:t>
      </w:r>
      <w:r>
        <w:rPr>
          <w:rtl w:val="0"/>
          <w:lang w:val="zh-TW" w:eastAsia="zh-TW"/>
        </w:rPr>
        <w:t>的海归正在创业。其中，创业比例男性高于女性</w:t>
      </w:r>
      <w:r>
        <w:rPr>
          <w:rtl w:val="0"/>
          <w:lang w:val="en-US"/>
        </w:rPr>
        <w:t>2</w:t>
      </w:r>
      <w:r>
        <w:rPr>
          <w:rtl w:val="0"/>
          <w:lang w:val="zh-TW" w:eastAsia="zh-TW"/>
        </w:rPr>
        <w:t>个百分点。</w:t>
      </w:r>
    </w:p>
    <w:p>
      <w:pPr>
        <w:pStyle w:val="Normal.0"/>
        <w:keepNext w:val="1"/>
      </w:pPr>
      <w:r>
        <mc:AlternateContent>
          <mc:Choice Requires="wps">
            <w:drawing>
              <wp:anchor distT="0" distB="0" distL="0" distR="0" simplePos="0" relativeHeight="251659264" behindDoc="0" locked="0" layoutInCell="1" allowOverlap="1">
                <wp:simplePos x="0" y="0"/>
                <wp:positionH relativeFrom="column">
                  <wp:posOffset>3587115</wp:posOffset>
                </wp:positionH>
                <wp:positionV relativeFrom="line">
                  <wp:posOffset>1327343</wp:posOffset>
                </wp:positionV>
                <wp:extent cx="286247" cy="1404620"/>
                <wp:effectExtent l="0" t="0" r="0" b="0"/>
                <wp:wrapNone/>
                <wp:docPr id="1073741852" name="officeArt object" descr="文本框 2"/>
                <wp:cNvGraphicFramePr/>
                <a:graphic xmlns:a="http://schemas.openxmlformats.org/drawingml/2006/main">
                  <a:graphicData uri="http://schemas.microsoft.com/office/word/2010/wordprocessingShape">
                    <wps:wsp>
                      <wps:cNvSpPr txBox="1"/>
                      <wps:spPr>
                        <a:xfrm>
                          <a:off x="0" y="0"/>
                          <a:ext cx="286247" cy="1404620"/>
                        </a:xfrm>
                        <a:prstGeom prst="rect">
                          <a:avLst/>
                        </a:prstGeom>
                        <a:noFill/>
                        <a:ln w="12700" cap="flat">
                          <a:noFill/>
                          <a:miter lim="400000"/>
                        </a:ln>
                        <a:effectLst/>
                      </wps:spPr>
                      <wps:txbx>
                        <w:txbxContent>
                          <w:p>
                            <w:pPr>
                              <w:pStyle w:val="Normal.0"/>
                            </w:pPr>
                            <w:r>
                              <w:rPr>
                                <w:rFonts w:ascii="Calibri" w:cs="Calibri" w:hAnsi="Calibri" w:eastAsia="Calibri"/>
                                <w:b w:val="1"/>
                                <w:bCs w:val="1"/>
                                <w:rtl w:val="0"/>
                                <w:lang w:val="zh-TW" w:eastAsia="zh-TW"/>
                              </w:rPr>
                              <w:t>总计</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2.5pt;margin-top:104.5pt;width:22.5pt;height:110.6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cs="Calibri" w:hAnsi="Calibri" w:eastAsia="Calibri"/>
                          <w:b w:val="1"/>
                          <w:bCs w:val="1"/>
                          <w:rtl w:val="0"/>
                          <w:lang w:val="zh-TW" w:eastAsia="zh-TW"/>
                        </w:rPr>
                        <w:t>总计</w:t>
                      </w:r>
                    </w:p>
                  </w:txbxContent>
                </v:textbox>
                <w10:wrap type="none" side="bothSides" anchorx="text"/>
              </v:shape>
            </w:pict>
          </mc:Fallback>
        </mc:AlternateContent>
      </w:r>
      <w:r>
        <mc:AlternateContent>
          <mc:Choice Requires="wps">
            <w:drawing>
              <wp:anchor distT="0" distB="0" distL="0" distR="0" simplePos="0" relativeHeight="251661312" behindDoc="0" locked="0" layoutInCell="1" allowOverlap="1">
                <wp:simplePos x="0" y="0"/>
                <wp:positionH relativeFrom="column">
                  <wp:posOffset>3141647</wp:posOffset>
                </wp:positionH>
                <wp:positionV relativeFrom="line">
                  <wp:posOffset>1398905</wp:posOffset>
                </wp:positionV>
                <wp:extent cx="286247" cy="1404620"/>
                <wp:effectExtent l="0" t="0" r="0" b="0"/>
                <wp:wrapNone/>
                <wp:docPr id="1073741853" name="officeArt object" descr="文本框 2"/>
                <wp:cNvGraphicFramePr/>
                <a:graphic xmlns:a="http://schemas.openxmlformats.org/drawingml/2006/main">
                  <a:graphicData uri="http://schemas.microsoft.com/office/word/2010/wordprocessingShape">
                    <wps:wsp>
                      <wps:cNvSpPr txBox="1"/>
                      <wps:spPr>
                        <a:xfrm>
                          <a:off x="0" y="0"/>
                          <a:ext cx="286247" cy="1404620"/>
                        </a:xfrm>
                        <a:prstGeom prst="rect">
                          <a:avLst/>
                        </a:prstGeom>
                        <a:noFill/>
                        <a:ln w="12700" cap="flat">
                          <a:noFill/>
                          <a:miter lim="400000"/>
                        </a:ln>
                        <a:effectLst/>
                      </wps:spPr>
                      <wps:txbx>
                        <w:txbxContent>
                          <w:p>
                            <w:pPr>
                              <w:pStyle w:val="Normal.0"/>
                            </w:pPr>
                            <w:r>
                              <w:rPr>
                                <w:rFonts w:ascii="Calibri" w:cs="Calibri" w:hAnsi="Calibri" w:eastAsia="Calibri"/>
                                <w:b w:val="1"/>
                                <w:bCs w:val="1"/>
                                <w:rtl w:val="0"/>
                                <w:lang w:val="zh-TW" w:eastAsia="zh-TW"/>
                              </w:rPr>
                              <w:t>女</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47.4pt;margin-top:110.2pt;width:22.5pt;height:110.6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cs="Calibri" w:hAnsi="Calibri" w:eastAsia="Calibri"/>
                          <w:b w:val="1"/>
                          <w:bCs w:val="1"/>
                          <w:rtl w:val="0"/>
                          <w:lang w:val="zh-TW" w:eastAsia="zh-TW"/>
                        </w:rPr>
                        <w:t>女</w:t>
                      </w:r>
                    </w:p>
                  </w:txbxContent>
                </v:textbox>
                <w10:wrap type="none" side="bothSides" anchorx="text"/>
              </v:shape>
            </w:pict>
          </mc:Fallback>
        </mc:AlternateContent>
      </w:r>
      <w:r>
        <mc:AlternateContent>
          <mc:Choice Requires="wps">
            <w:drawing>
              <wp:anchor distT="0" distB="0" distL="0" distR="0" simplePos="0" relativeHeight="251660288" behindDoc="0" locked="0" layoutInCell="1" allowOverlap="1">
                <wp:simplePos x="0" y="0"/>
                <wp:positionH relativeFrom="column">
                  <wp:posOffset>3348354</wp:posOffset>
                </wp:positionH>
                <wp:positionV relativeFrom="line">
                  <wp:posOffset>1398905</wp:posOffset>
                </wp:positionV>
                <wp:extent cx="286247" cy="1404620"/>
                <wp:effectExtent l="0" t="0" r="0" b="0"/>
                <wp:wrapNone/>
                <wp:docPr id="1073741854" name="officeArt object" descr="文本框 2"/>
                <wp:cNvGraphicFramePr/>
                <a:graphic xmlns:a="http://schemas.openxmlformats.org/drawingml/2006/main">
                  <a:graphicData uri="http://schemas.microsoft.com/office/word/2010/wordprocessingShape">
                    <wps:wsp>
                      <wps:cNvSpPr txBox="1"/>
                      <wps:spPr>
                        <a:xfrm>
                          <a:off x="0" y="0"/>
                          <a:ext cx="286247" cy="1404620"/>
                        </a:xfrm>
                        <a:prstGeom prst="rect">
                          <a:avLst/>
                        </a:prstGeom>
                        <a:noFill/>
                        <a:ln w="12700" cap="flat">
                          <a:noFill/>
                          <a:miter lim="400000"/>
                        </a:ln>
                        <a:effectLst/>
                      </wps:spPr>
                      <wps:txbx>
                        <w:txbxContent>
                          <w:p>
                            <w:pPr>
                              <w:pStyle w:val="Normal.0"/>
                            </w:pPr>
                            <w:r>
                              <w:rPr>
                                <w:rFonts w:ascii="Calibri" w:cs="Calibri" w:hAnsi="Calibri" w:eastAsia="Calibri"/>
                                <w:b w:val="1"/>
                                <w:bCs w:val="1"/>
                                <w:rtl w:val="0"/>
                                <w:lang w:val="zh-TW" w:eastAsia="zh-TW"/>
                              </w:rPr>
                              <w:t>男</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263.6pt;margin-top:110.2pt;width:22.5pt;height:110.6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cs="Calibri" w:hAnsi="Calibri" w:eastAsia="Calibri"/>
                          <w:b w:val="1"/>
                          <w:bCs w:val="1"/>
                          <w:rtl w:val="0"/>
                          <w:lang w:val="zh-TW" w:eastAsia="zh-TW"/>
                        </w:rPr>
                        <w:t>男</w:t>
                      </w:r>
                    </w:p>
                  </w:txbxContent>
                </v:textbox>
                <w10:wrap type="none" side="bothSides" anchorx="text"/>
              </v:shape>
            </w:pict>
          </mc:Fallback>
        </mc:AlternateContent>
      </w:r>
      <w:r>
        <w:drawing>
          <wp:inline distT="0" distB="0" distL="0" distR="0">
            <wp:extent cx="2712046" cy="2712046"/>
            <wp:effectExtent l="0" t="0" r="0" b="0"/>
            <wp:docPr id="1073741855" name="officeArt object"/>
            <wp:cNvGraphicFramePr/>
            <a:graphic xmlns:a="http://schemas.openxmlformats.org/drawingml/2006/main">
              <a:graphicData uri="http://schemas.openxmlformats.org/drawingml/2006/chart">
                <c:chart xmlns:c="http://schemas.openxmlformats.org/drawingml/2006/chart" r:id="rId31"/>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28 </w:t>
      </w:r>
      <w:r>
        <w:rPr>
          <w:rFonts w:ascii="黑体" w:cs="黑体" w:hAnsi="黑体" w:eastAsia="黑体"/>
          <w:rtl w:val="0"/>
          <w:lang w:val="zh-TW" w:eastAsia="zh-TW"/>
        </w:rPr>
        <w:t>海归群体在国内的职业发展情况</w:t>
      </w:r>
    </w:p>
    <w:p>
      <w:pPr>
        <w:pStyle w:val="heading 2"/>
      </w:pPr>
      <w:r>
        <w:rPr>
          <w:rtl w:val="0"/>
          <w:lang w:val="zh-TW" w:eastAsia="zh-TW"/>
        </w:rPr>
        <w:t>（一）海归求职：向招聘网站</w:t>
      </w:r>
      <w:r>
        <w:rPr>
          <w:rtl w:val="0"/>
          <w:lang w:val="en-US"/>
        </w:rPr>
        <w:t>/</w:t>
      </w:r>
      <w:r>
        <w:rPr>
          <w:rtl w:val="0"/>
          <w:lang w:val="zh-TW" w:eastAsia="zh-TW"/>
        </w:rPr>
        <w:t>招聘软件等渠道投递简历是海归在国内求职的首要渠道，</w:t>
      </w:r>
      <w:r>
        <w:rPr>
          <w:rtl w:val="0"/>
          <w:lang w:val="en-US"/>
        </w:rPr>
        <w:t>95%</w:t>
      </w:r>
      <w:r>
        <w:rPr>
          <w:rtl w:val="0"/>
          <w:lang w:val="zh-TW" w:eastAsia="zh-TW"/>
        </w:rPr>
        <w:t>的海归可以在归国以后的半年内找到工作。</w:t>
      </w:r>
    </w:p>
    <w:p>
      <w:pPr>
        <w:pStyle w:val="Normal.0"/>
        <w:ind w:firstLine="420"/>
      </w:pPr>
      <w:r>
        <w:rPr>
          <w:rtl w:val="0"/>
          <w:lang w:val="zh-TW" w:eastAsia="zh-TW"/>
        </w:rPr>
        <w:t>从获得国内工作的求职渠道来看，排在首位的是通过</w:t>
      </w:r>
      <w:r>
        <w:rPr>
          <w:rtl w:val="0"/>
          <w:lang w:val="en-US"/>
        </w:rPr>
        <w:t>“</w:t>
      </w:r>
      <w:r>
        <w:rPr>
          <w:rtl w:val="0"/>
          <w:lang w:val="zh-TW" w:eastAsia="zh-TW"/>
        </w:rPr>
        <w:t>招聘网站</w:t>
      </w:r>
      <w:r>
        <w:rPr>
          <w:rtl w:val="0"/>
          <w:lang w:val="en-US"/>
        </w:rPr>
        <w:t>/APP</w:t>
      </w:r>
      <w:r>
        <w:rPr>
          <w:rtl w:val="0"/>
          <w:lang w:val="zh-TW" w:eastAsia="zh-TW"/>
        </w:rPr>
        <w:t>投递简历</w:t>
      </w:r>
      <w:r>
        <w:rPr>
          <w:rtl w:val="0"/>
          <w:lang w:val="en-US"/>
        </w:rPr>
        <w:t>”</w:t>
      </w:r>
      <w:r>
        <w:rPr>
          <w:rtl w:val="0"/>
          <w:lang w:val="zh-TW" w:eastAsia="zh-TW"/>
        </w:rPr>
        <w:t>，</w:t>
      </w:r>
      <w:r>
        <w:rPr>
          <w:rtl w:val="0"/>
          <w:lang w:val="en-US"/>
        </w:rPr>
        <w:t>49%</w:t>
      </w:r>
      <w:r>
        <w:rPr>
          <w:rtl w:val="0"/>
          <w:lang w:val="zh-TW" w:eastAsia="zh-TW"/>
        </w:rPr>
        <w:t>的海归选择该途径求职；其次是</w:t>
      </w:r>
      <w:r>
        <w:rPr>
          <w:rtl w:val="0"/>
          <w:lang w:val="en-US"/>
        </w:rPr>
        <w:t>“</w:t>
      </w:r>
      <w:r>
        <w:rPr>
          <w:rtl w:val="0"/>
          <w:lang w:val="zh-TW" w:eastAsia="zh-TW"/>
        </w:rPr>
        <w:t>直接向意向单位投递简历</w:t>
      </w:r>
      <w:r>
        <w:rPr>
          <w:rtl w:val="0"/>
          <w:lang w:val="en-US"/>
        </w:rPr>
        <w:t>”</w:t>
      </w:r>
      <w:r>
        <w:rPr>
          <w:rtl w:val="0"/>
          <w:lang w:val="zh-TW" w:eastAsia="zh-TW"/>
        </w:rPr>
        <w:t>和</w:t>
      </w:r>
      <w:r>
        <w:rPr>
          <w:rtl w:val="0"/>
          <w:lang w:val="en-US"/>
        </w:rPr>
        <w:t>“</w:t>
      </w:r>
      <w:r>
        <w:rPr>
          <w:rtl w:val="0"/>
          <w:lang w:val="zh-TW" w:eastAsia="zh-TW"/>
        </w:rPr>
        <w:t>家人或者亲戚朋友推荐</w:t>
      </w:r>
      <w:r>
        <w:rPr>
          <w:rtl w:val="0"/>
          <w:lang w:val="en-US"/>
        </w:rPr>
        <w:t>”</w:t>
      </w:r>
      <w:r>
        <w:rPr>
          <w:rtl w:val="0"/>
          <w:lang w:val="zh-TW" w:eastAsia="zh-TW"/>
        </w:rPr>
        <w:t>，选择比例分别为</w:t>
      </w:r>
      <w:r>
        <w:rPr>
          <w:rtl w:val="0"/>
          <w:lang w:val="en-US"/>
        </w:rPr>
        <w:t>22%</w:t>
      </w:r>
      <w:r>
        <w:rPr>
          <w:rtl w:val="0"/>
          <w:lang w:val="zh-TW" w:eastAsia="zh-TW"/>
        </w:rPr>
        <w:t>和</w:t>
      </w:r>
      <w:r>
        <w:rPr>
          <w:rtl w:val="0"/>
          <w:lang w:val="en-US"/>
        </w:rPr>
        <w:t>19%</w:t>
      </w:r>
      <w:r>
        <w:rPr>
          <w:rtl w:val="0"/>
          <w:lang w:val="zh-TW" w:eastAsia="zh-TW"/>
        </w:rPr>
        <w:t>。其中，男性与女性在这三种主流的求职渠道中存在一定差异，男性</w:t>
      </w:r>
      <w:r>
        <w:rPr>
          <w:rtl w:val="0"/>
          <w:lang w:val="en-US"/>
        </w:rPr>
        <w:t>“</w:t>
      </w:r>
      <w:r>
        <w:rPr>
          <w:rtl w:val="0"/>
          <w:lang w:val="zh-TW" w:eastAsia="zh-TW"/>
        </w:rPr>
        <w:t>直接向意向单位投递简历</w:t>
      </w:r>
      <w:r>
        <w:rPr>
          <w:rtl w:val="0"/>
          <w:lang w:val="en-US"/>
        </w:rPr>
        <w:t>”</w:t>
      </w:r>
      <w:r>
        <w:rPr>
          <w:rtl w:val="0"/>
          <w:lang w:val="zh-TW" w:eastAsia="zh-TW"/>
        </w:rPr>
        <w:t>的比例高于女性，而选择</w:t>
      </w:r>
      <w:r>
        <w:rPr>
          <w:rtl w:val="0"/>
          <w:lang w:val="en-US"/>
        </w:rPr>
        <w:t>“</w:t>
      </w:r>
      <w:r>
        <w:rPr>
          <w:rtl w:val="0"/>
          <w:lang w:val="zh-TW" w:eastAsia="zh-TW"/>
        </w:rPr>
        <w:t>招聘网站</w:t>
      </w:r>
      <w:r>
        <w:rPr>
          <w:rtl w:val="0"/>
          <w:lang w:val="en-US"/>
        </w:rPr>
        <w:t>/APP</w:t>
      </w:r>
      <w:r>
        <w:rPr>
          <w:rtl w:val="0"/>
          <w:lang w:val="zh-TW" w:eastAsia="zh-TW"/>
        </w:rPr>
        <w:t>投递简历</w:t>
      </w:r>
      <w:r>
        <w:rPr>
          <w:rtl w:val="0"/>
          <w:lang w:val="en-US"/>
        </w:rPr>
        <w:t>”</w:t>
      </w:r>
      <w:r>
        <w:rPr>
          <w:rtl w:val="0"/>
          <w:lang w:val="zh-TW" w:eastAsia="zh-TW"/>
        </w:rPr>
        <w:t>和</w:t>
      </w:r>
      <w:r>
        <w:rPr>
          <w:rtl w:val="0"/>
          <w:lang w:val="en-US"/>
        </w:rPr>
        <w:t>“</w:t>
      </w:r>
      <w:r>
        <w:rPr>
          <w:rtl w:val="0"/>
          <w:lang w:val="zh-TW" w:eastAsia="zh-TW"/>
        </w:rPr>
        <w:t>家人或者亲戚朋友推荐</w:t>
      </w:r>
      <w:r>
        <w:rPr>
          <w:rtl w:val="0"/>
          <w:lang w:val="en-US"/>
        </w:rPr>
        <w:t>”</w:t>
      </w:r>
      <w:r>
        <w:rPr>
          <w:rtl w:val="0"/>
          <w:lang w:val="zh-TW" w:eastAsia="zh-TW"/>
        </w:rPr>
        <w:t>的渠道，女性比例则高于男性。</w:t>
      </w:r>
    </w:p>
    <w:p>
      <w:pPr>
        <w:pStyle w:val="Normal.0"/>
        <w:keepNext w:val="1"/>
      </w:pPr>
      <w:r>
        <w:drawing>
          <wp:inline distT="0" distB="0" distL="0" distR="0">
            <wp:extent cx="5265001" cy="3614478"/>
            <wp:effectExtent l="0" t="0" r="0" b="0"/>
            <wp:docPr id="1073741856" name="officeArt object"/>
            <wp:cNvGraphicFramePr/>
            <a:graphic xmlns:a="http://schemas.openxmlformats.org/drawingml/2006/main">
              <a:graphicData uri="http://schemas.openxmlformats.org/drawingml/2006/chart">
                <c:chart xmlns:c="http://schemas.openxmlformats.org/drawingml/2006/chart" r:id="rId32"/>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29 </w:t>
      </w:r>
      <w:r>
        <w:rPr>
          <w:rFonts w:ascii="黑体" w:cs="黑体" w:hAnsi="黑体" w:eastAsia="黑体"/>
          <w:rtl w:val="0"/>
          <w:lang w:val="zh-TW" w:eastAsia="zh-TW"/>
        </w:rPr>
        <w:t>求职渠道</w:t>
      </w:r>
    </w:p>
    <w:p>
      <w:pPr>
        <w:pStyle w:val="Normal.0"/>
        <w:ind w:firstLine="420"/>
      </w:pPr>
      <w:r>
        <w:rPr>
          <w:rtl w:val="0"/>
          <w:lang w:val="zh-TW" w:eastAsia="zh-TW"/>
        </w:rPr>
        <w:t>在求职周期方面，男性与女性海归的差异并不明显。</w:t>
      </w:r>
      <w:r>
        <w:rPr>
          <w:rtl w:val="0"/>
          <w:lang w:val="en-US"/>
        </w:rPr>
        <w:t>42%</w:t>
      </w:r>
      <w:r>
        <w:rPr>
          <w:rtl w:val="0"/>
          <w:lang w:val="zh-TW" w:eastAsia="zh-TW"/>
        </w:rPr>
        <w:t>的海归能够在归国一个月以内找到工作；</w:t>
      </w:r>
      <w:r>
        <w:rPr>
          <w:rtl w:val="0"/>
          <w:lang w:val="en-US"/>
        </w:rPr>
        <w:t>40%</w:t>
      </w:r>
      <w:r>
        <w:rPr>
          <w:rtl w:val="0"/>
          <w:lang w:val="zh-TW" w:eastAsia="zh-TW"/>
        </w:rPr>
        <w:t>的海归能够在</w:t>
      </w:r>
      <w:r>
        <w:rPr>
          <w:rtl w:val="0"/>
          <w:lang w:val="en-US"/>
        </w:rPr>
        <w:t>1-3</w:t>
      </w:r>
      <w:r>
        <w:rPr>
          <w:rtl w:val="0"/>
          <w:lang w:val="zh-TW" w:eastAsia="zh-TW"/>
        </w:rPr>
        <w:t>个月找到工作；需要</w:t>
      </w:r>
      <w:r>
        <w:rPr>
          <w:rtl w:val="0"/>
          <w:lang w:val="en-US"/>
        </w:rPr>
        <w:t>4-6</w:t>
      </w:r>
      <w:r>
        <w:rPr>
          <w:rtl w:val="0"/>
          <w:lang w:val="zh-TW" w:eastAsia="zh-TW"/>
        </w:rPr>
        <w:t>个月的占比为</w:t>
      </w:r>
      <w:r>
        <w:rPr>
          <w:rtl w:val="0"/>
          <w:lang w:val="en-US"/>
        </w:rPr>
        <w:t>13%</w:t>
      </w:r>
      <w:r>
        <w:rPr>
          <w:rtl w:val="0"/>
          <w:lang w:val="zh-TW" w:eastAsia="zh-TW"/>
        </w:rPr>
        <w:t>；需要</w:t>
      </w:r>
      <w:r>
        <w:rPr>
          <w:rtl w:val="0"/>
          <w:lang w:val="en-US"/>
        </w:rPr>
        <w:t>6</w:t>
      </w:r>
      <w:r>
        <w:rPr>
          <w:rtl w:val="0"/>
          <w:lang w:val="zh-TW" w:eastAsia="zh-TW"/>
        </w:rPr>
        <w:t>个月及以上的占比仅为</w:t>
      </w:r>
      <w:r>
        <w:rPr>
          <w:rtl w:val="0"/>
          <w:lang w:val="en-US"/>
        </w:rPr>
        <w:t>5%</w:t>
      </w:r>
      <w:r>
        <w:rPr>
          <w:rtl w:val="0"/>
          <w:lang w:val="zh-TW" w:eastAsia="zh-TW"/>
        </w:rPr>
        <w:t>。与</w:t>
      </w:r>
      <w:r>
        <w:rPr>
          <w:rtl w:val="0"/>
          <w:lang w:val="en-US"/>
        </w:rPr>
        <w:t>2017</w:t>
      </w:r>
      <w:r>
        <w:rPr>
          <w:rtl w:val="0"/>
          <w:lang w:val="zh-TW" w:eastAsia="zh-TW"/>
        </w:rPr>
        <w:t>年的调查数据相比，</w:t>
      </w:r>
      <w:r>
        <w:rPr>
          <w:rtl w:val="0"/>
          <w:lang w:val="en-US"/>
        </w:rPr>
        <w:t>1</w:t>
      </w:r>
      <w:r>
        <w:rPr>
          <w:rtl w:val="0"/>
          <w:lang w:val="zh-TW" w:eastAsia="zh-TW"/>
        </w:rPr>
        <w:t>个月以内找到工作的海归比例提升了</w:t>
      </w:r>
      <w:r>
        <w:rPr>
          <w:rtl w:val="0"/>
          <w:lang w:val="en-US"/>
        </w:rPr>
        <w:t>10</w:t>
      </w:r>
      <w:r>
        <w:rPr>
          <w:rtl w:val="0"/>
          <w:lang w:val="zh-TW" w:eastAsia="zh-TW"/>
        </w:rPr>
        <w:t>个百分点，同时，需要</w:t>
      </w:r>
      <w:r>
        <w:rPr>
          <w:rtl w:val="0"/>
          <w:lang w:val="en-US"/>
        </w:rPr>
        <w:t>6</w:t>
      </w:r>
      <w:r>
        <w:rPr>
          <w:rtl w:val="0"/>
          <w:lang w:val="zh-TW" w:eastAsia="zh-TW"/>
        </w:rPr>
        <w:t>个月及以上求职时间的比例下降了</w:t>
      </w:r>
      <w:r>
        <w:rPr>
          <w:rtl w:val="0"/>
          <w:lang w:val="en-US"/>
        </w:rPr>
        <w:t>6</w:t>
      </w:r>
      <w:r>
        <w:rPr>
          <w:rtl w:val="0"/>
          <w:lang w:val="zh-TW" w:eastAsia="zh-TW"/>
        </w:rPr>
        <w:t>个百分点，说明海归在国内就业市场的竞争力有一定提升。</w:t>
      </w:r>
    </w:p>
    <w:p>
      <w:pPr>
        <w:pStyle w:val="Normal.0"/>
        <w:keepNext w:val="1"/>
      </w:pPr>
      <w:r>
        <w:drawing>
          <wp:inline distT="0" distB="0" distL="0" distR="0">
            <wp:extent cx="5185345" cy="2826588"/>
            <wp:effectExtent l="0" t="0" r="0" b="0"/>
            <wp:docPr id="1073741857" name="officeArt object"/>
            <wp:cNvGraphicFramePr/>
            <a:graphic xmlns:a="http://schemas.openxmlformats.org/drawingml/2006/main">
              <a:graphicData uri="http://schemas.openxmlformats.org/drawingml/2006/chart">
                <c:chart xmlns:c="http://schemas.openxmlformats.org/drawingml/2006/chart" r:id="rId33"/>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30 </w:t>
      </w:r>
      <w:r>
        <w:rPr>
          <w:rFonts w:ascii="黑体" w:cs="黑体" w:hAnsi="黑体" w:eastAsia="黑体"/>
          <w:rtl w:val="0"/>
          <w:lang w:val="zh-TW" w:eastAsia="zh-TW"/>
        </w:rPr>
        <w:t>求职周期</w:t>
      </w:r>
    </w:p>
    <w:p>
      <w:pPr>
        <w:pStyle w:val="heading 2"/>
      </w:pPr>
      <w:r>
        <w:rPr>
          <w:rtl w:val="0"/>
          <w:lang w:val="zh-TW" w:eastAsia="zh-TW"/>
        </w:rPr>
        <w:t>（二）就业情况：金融业超过信息传输</w:t>
      </w:r>
      <w:r>
        <w:rPr>
          <w:rFonts w:ascii="Calibri" w:cs="Calibri" w:hAnsi="Calibri" w:eastAsia="Calibri"/>
          <w:rtl w:val="0"/>
          <w:lang w:val="en-US"/>
        </w:rPr>
        <w:t>/</w:t>
      </w:r>
      <w:r>
        <w:rPr>
          <w:rtl w:val="0"/>
          <w:lang w:val="zh-TW" w:eastAsia="zh-TW"/>
        </w:rPr>
        <w:t>软件和信息技术服务业，再次成为海归就业中最主要的行业领域；私营</w:t>
      </w:r>
      <w:r>
        <w:rPr>
          <w:rtl w:val="0"/>
          <w:lang w:val="en-US"/>
        </w:rPr>
        <w:t>/</w:t>
      </w:r>
      <w:r>
        <w:rPr>
          <w:rtl w:val="0"/>
          <w:lang w:val="zh-TW" w:eastAsia="zh-TW"/>
        </w:rPr>
        <w:t>民营企业是吸纳海归就业的最大载体；企业规模集中在</w:t>
      </w:r>
      <w:r>
        <w:rPr>
          <w:rtl w:val="0"/>
          <w:lang w:val="en-US"/>
        </w:rPr>
        <w:t>500</w:t>
      </w:r>
      <w:r>
        <w:rPr>
          <w:rtl w:val="0"/>
          <w:lang w:val="zh-TW" w:eastAsia="zh-TW"/>
        </w:rPr>
        <w:t>人以下；经营管理类</w:t>
      </w:r>
      <w:r>
        <w:rPr>
          <w:rtl w:val="0"/>
          <w:lang w:val="en-US"/>
        </w:rPr>
        <w:t>/</w:t>
      </w:r>
      <w:r>
        <w:rPr>
          <w:rtl w:val="0"/>
          <w:lang w:val="zh-TW" w:eastAsia="zh-TW"/>
        </w:rPr>
        <w:t>贸易销售类和计算机与互联网类岗位是男性海归的主要选择，而女性海归更多的倾向于行政与人力资源管理类</w:t>
      </w:r>
      <w:r>
        <w:rPr>
          <w:rtl w:val="0"/>
          <w:lang w:val="en-US"/>
        </w:rPr>
        <w:t>/</w:t>
      </w:r>
      <w:r>
        <w:rPr>
          <w:rtl w:val="0"/>
          <w:lang w:val="zh-TW" w:eastAsia="zh-TW"/>
        </w:rPr>
        <w:t>公关与市场营销类和贸易销售类岗位；就业于普通岗位的海归占比近六成；近七成海归税前月收入高于</w:t>
      </w:r>
      <w:r>
        <w:rPr>
          <w:rtl w:val="0"/>
          <w:lang w:val="en-US"/>
        </w:rPr>
        <w:t>6000</w:t>
      </w:r>
      <w:r>
        <w:rPr>
          <w:rtl w:val="0"/>
          <w:lang w:val="zh-TW" w:eastAsia="zh-TW"/>
        </w:rPr>
        <w:t>元。</w:t>
      </w:r>
    </w:p>
    <w:p>
      <w:pPr>
        <w:pStyle w:val="Normal.0"/>
        <w:ind w:firstLine="420"/>
      </w:pPr>
      <w:r>
        <w:rPr>
          <w:rtl w:val="0"/>
          <w:lang w:val="zh-TW" w:eastAsia="zh-TW"/>
        </w:rPr>
        <w:t>在就业行业方面，金融业、信息传输</w:t>
      </w:r>
      <w:r>
        <w:rPr>
          <w:rtl w:val="0"/>
          <w:lang w:val="en-US"/>
        </w:rPr>
        <w:t>/</w:t>
      </w:r>
      <w:r>
        <w:rPr>
          <w:rtl w:val="0"/>
          <w:lang w:val="zh-TW" w:eastAsia="zh-TW"/>
        </w:rPr>
        <w:t>软件和信息技术服务业、制造业、教育、批发和零售业、文化</w:t>
      </w:r>
      <w:r>
        <w:rPr>
          <w:rtl w:val="0"/>
          <w:lang w:val="en-US"/>
        </w:rPr>
        <w:t>/</w:t>
      </w:r>
      <w:r>
        <w:rPr>
          <w:rtl w:val="0"/>
          <w:lang w:val="zh-TW" w:eastAsia="zh-TW"/>
        </w:rPr>
        <w:t>体育和娱乐业排名靠前，所占比例分别为</w:t>
      </w:r>
      <w:r>
        <w:rPr>
          <w:rtl w:val="0"/>
          <w:lang w:val="en-US"/>
        </w:rPr>
        <w:t>14%</w:t>
      </w:r>
      <w:r>
        <w:rPr>
          <w:rtl w:val="0"/>
          <w:lang w:val="zh-TW" w:eastAsia="zh-TW"/>
        </w:rPr>
        <w:t>、</w:t>
      </w:r>
      <w:r>
        <w:rPr>
          <w:rtl w:val="0"/>
          <w:lang w:val="en-US"/>
        </w:rPr>
        <w:t>13%</w:t>
      </w:r>
      <w:r>
        <w:rPr>
          <w:rtl w:val="0"/>
          <w:lang w:val="zh-TW" w:eastAsia="zh-TW"/>
        </w:rPr>
        <w:t>、</w:t>
      </w:r>
      <w:r>
        <w:rPr>
          <w:rtl w:val="0"/>
          <w:lang w:val="en-US"/>
        </w:rPr>
        <w:t>12%</w:t>
      </w:r>
      <w:r>
        <w:rPr>
          <w:rtl w:val="0"/>
          <w:lang w:val="zh-TW" w:eastAsia="zh-TW"/>
        </w:rPr>
        <w:t>、</w:t>
      </w:r>
      <w:r>
        <w:rPr>
          <w:rtl w:val="0"/>
          <w:lang w:val="en-US"/>
        </w:rPr>
        <w:t>11%</w:t>
      </w:r>
      <w:r>
        <w:rPr>
          <w:rtl w:val="0"/>
          <w:lang w:val="zh-TW" w:eastAsia="zh-TW"/>
        </w:rPr>
        <w:t>、</w:t>
      </w:r>
      <w:r>
        <w:rPr>
          <w:rtl w:val="0"/>
          <w:lang w:val="en-US"/>
        </w:rPr>
        <w:t>8%</w:t>
      </w:r>
      <w:r>
        <w:rPr>
          <w:rtl w:val="0"/>
          <w:lang w:val="zh-TW" w:eastAsia="zh-TW"/>
        </w:rPr>
        <w:t>和</w:t>
      </w:r>
      <w:r>
        <w:rPr>
          <w:rtl w:val="0"/>
          <w:lang w:val="en-US"/>
        </w:rPr>
        <w:t>7%</w:t>
      </w:r>
      <w:r>
        <w:rPr>
          <w:rtl w:val="0"/>
          <w:lang w:val="zh-TW" w:eastAsia="zh-TW"/>
        </w:rPr>
        <w:t>。可以看到，在排名靠前的行业中，因性别不同，海归对于行业的选择也存在一定差异。对于女性海归来说，教育</w:t>
      </w:r>
      <w:r>
        <w:rPr>
          <w:rtl w:val="0"/>
          <w:lang w:val="en-US"/>
        </w:rPr>
        <w:t>(15%)</w:t>
      </w:r>
      <w:r>
        <w:rPr>
          <w:rtl w:val="0"/>
          <w:lang w:val="zh-TW" w:eastAsia="zh-TW"/>
        </w:rPr>
        <w:t>和文化</w:t>
      </w:r>
      <w:r>
        <w:rPr>
          <w:rtl w:val="0"/>
          <w:lang w:val="en-US"/>
        </w:rPr>
        <w:t>/</w:t>
      </w:r>
      <w:r>
        <w:rPr>
          <w:rtl w:val="0"/>
          <w:lang w:val="zh-TW" w:eastAsia="zh-TW"/>
        </w:rPr>
        <w:t>体育和娱乐业</w:t>
      </w:r>
      <w:r>
        <w:rPr>
          <w:rtl w:val="0"/>
          <w:lang w:val="en-US"/>
        </w:rPr>
        <w:t>(10%)</w:t>
      </w:r>
      <w:r>
        <w:rPr>
          <w:rtl w:val="0"/>
          <w:lang w:val="zh-TW" w:eastAsia="zh-TW"/>
        </w:rPr>
        <w:t>占比明显高于男性；对于男性海归来说，金融业</w:t>
      </w:r>
      <w:r>
        <w:rPr>
          <w:rtl w:val="0"/>
          <w:lang w:val="en-US"/>
        </w:rPr>
        <w:t>(17%)</w:t>
      </w:r>
      <w:r>
        <w:rPr>
          <w:rtl w:val="0"/>
          <w:lang w:val="zh-TW" w:eastAsia="zh-TW"/>
        </w:rPr>
        <w:t>和制造业</w:t>
      </w:r>
      <w:r>
        <w:rPr>
          <w:rtl w:val="0"/>
          <w:lang w:val="en-US"/>
        </w:rPr>
        <w:t>(15%)</w:t>
      </w:r>
      <w:r>
        <w:rPr>
          <w:rtl w:val="0"/>
          <w:lang w:val="zh-TW" w:eastAsia="zh-TW"/>
        </w:rPr>
        <w:t>占比则明显高于女性。与</w:t>
      </w:r>
      <w:r>
        <w:rPr>
          <w:rtl w:val="0"/>
          <w:lang w:val="en-US"/>
        </w:rPr>
        <w:t>2017</w:t>
      </w:r>
      <w:r>
        <w:rPr>
          <w:rtl w:val="0"/>
          <w:lang w:val="zh-TW" w:eastAsia="zh-TW"/>
        </w:rPr>
        <w:t>年相比，金融业就业比例超过信息技术服务业升至第一位，制造业的比例也有所上升，从</w:t>
      </w:r>
      <w:r>
        <w:rPr>
          <w:rtl w:val="0"/>
          <w:lang w:val="en-US"/>
        </w:rPr>
        <w:t>2017</w:t>
      </w:r>
      <w:r>
        <w:rPr>
          <w:rtl w:val="0"/>
          <w:lang w:val="zh-TW" w:eastAsia="zh-TW"/>
        </w:rPr>
        <w:t>年的第</w:t>
      </w:r>
      <w:r>
        <w:rPr>
          <w:rtl w:val="0"/>
          <w:lang w:val="en-US"/>
        </w:rPr>
        <w:t>5</w:t>
      </w:r>
      <w:r>
        <w:rPr>
          <w:rtl w:val="0"/>
          <w:lang w:val="zh-TW" w:eastAsia="zh-TW"/>
        </w:rPr>
        <w:t>位升至</w:t>
      </w:r>
      <w:r>
        <w:rPr>
          <w:rtl w:val="0"/>
          <w:lang w:val="en-US"/>
        </w:rPr>
        <w:t>2018</w:t>
      </w:r>
      <w:r>
        <w:rPr>
          <w:rtl w:val="0"/>
          <w:lang w:val="zh-TW" w:eastAsia="zh-TW"/>
        </w:rPr>
        <w:t>年的第</w:t>
      </w:r>
      <w:r>
        <w:rPr>
          <w:rtl w:val="0"/>
          <w:lang w:val="en-US"/>
        </w:rPr>
        <w:t>3</w:t>
      </w:r>
      <w:r>
        <w:rPr>
          <w:rtl w:val="0"/>
          <w:lang w:val="zh-TW" w:eastAsia="zh-TW"/>
        </w:rPr>
        <w:t>位。</w:t>
      </w:r>
    </w:p>
    <w:p>
      <w:pPr>
        <w:pStyle w:val="Normal.0"/>
        <w:keepNext w:val="1"/>
      </w:pPr>
      <w:r>
        <w:drawing>
          <wp:inline distT="0" distB="0" distL="0" distR="0">
            <wp:extent cx="5185345" cy="3808651"/>
            <wp:effectExtent l="0" t="0" r="0" b="0"/>
            <wp:docPr id="1073741858" name="officeArt object"/>
            <wp:cNvGraphicFramePr/>
            <a:graphic xmlns:a="http://schemas.openxmlformats.org/drawingml/2006/main">
              <a:graphicData uri="http://schemas.openxmlformats.org/drawingml/2006/chart">
                <c:chart xmlns:c="http://schemas.openxmlformats.org/drawingml/2006/chart" r:id="rId34"/>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31 </w:t>
      </w:r>
      <w:r>
        <w:rPr>
          <w:rFonts w:ascii="黑体" w:cs="黑体" w:hAnsi="黑体" w:eastAsia="黑体"/>
          <w:rtl w:val="0"/>
          <w:lang w:val="zh-TW" w:eastAsia="zh-TW"/>
        </w:rPr>
        <w:t>就职行业</w:t>
      </w:r>
    </w:p>
    <w:p>
      <w:pPr>
        <w:pStyle w:val="Normal.0"/>
        <w:ind w:firstLine="420"/>
      </w:pPr>
      <w:r>
        <w:rPr>
          <w:rtl w:val="0"/>
          <w:lang w:val="zh-TW" w:eastAsia="zh-TW"/>
        </w:rPr>
        <w:t>海归就业单位的类型呈现多样化，但从数据来看，海归群体就业单位类型主要集中在私营</w:t>
      </w:r>
      <w:r>
        <w:rPr>
          <w:rtl w:val="0"/>
          <w:lang w:val="en-US"/>
        </w:rPr>
        <w:t>/</w:t>
      </w:r>
      <w:r>
        <w:rPr>
          <w:rtl w:val="0"/>
          <w:lang w:val="zh-TW" w:eastAsia="zh-TW"/>
        </w:rPr>
        <w:t>民营企业，占比为</w:t>
      </w:r>
      <w:r>
        <w:rPr>
          <w:rtl w:val="0"/>
          <w:lang w:val="en-US"/>
        </w:rPr>
        <w:t>53%</w:t>
      </w:r>
      <w:r>
        <w:rPr>
          <w:rtl w:val="0"/>
          <w:lang w:val="zh-TW" w:eastAsia="zh-TW"/>
        </w:rPr>
        <w:t>；外商</w:t>
      </w:r>
      <w:r>
        <w:rPr>
          <w:rtl w:val="0"/>
          <w:lang w:val="en-US"/>
        </w:rPr>
        <w:t>/</w:t>
      </w:r>
      <w:r>
        <w:rPr>
          <w:rtl w:val="0"/>
          <w:lang w:val="zh-TW" w:eastAsia="zh-TW"/>
        </w:rPr>
        <w:t>港澳台资企业占比</w:t>
      </w:r>
      <w:r>
        <w:rPr>
          <w:rtl w:val="0"/>
          <w:lang w:val="en-US"/>
        </w:rPr>
        <w:t>17%</w:t>
      </w:r>
      <w:r>
        <w:rPr>
          <w:rtl w:val="0"/>
          <w:lang w:val="zh-TW" w:eastAsia="zh-TW"/>
        </w:rPr>
        <w:t>；国有企业和合资企业占比分别为</w:t>
      </w:r>
      <w:r>
        <w:rPr>
          <w:rtl w:val="0"/>
          <w:lang w:val="en-US"/>
        </w:rPr>
        <w:t>15%</w:t>
      </w:r>
      <w:r>
        <w:rPr>
          <w:rtl w:val="0"/>
          <w:lang w:val="zh-TW" w:eastAsia="zh-TW"/>
        </w:rPr>
        <w:t>和</w:t>
      </w:r>
      <w:r>
        <w:rPr>
          <w:rtl w:val="0"/>
          <w:lang w:val="en-US"/>
        </w:rPr>
        <w:t>8%</w:t>
      </w:r>
      <w:r>
        <w:rPr>
          <w:rtl w:val="0"/>
          <w:lang w:val="zh-TW" w:eastAsia="zh-TW"/>
        </w:rPr>
        <w:t>。海归群体就职于机关事业单位、社会组织</w:t>
      </w:r>
      <w:r>
        <w:rPr>
          <w:rtl w:val="0"/>
          <w:lang w:val="en-US"/>
        </w:rPr>
        <w:t>/</w:t>
      </w:r>
      <w:r>
        <w:rPr>
          <w:rtl w:val="0"/>
          <w:lang w:val="zh-TW" w:eastAsia="zh-TW"/>
        </w:rPr>
        <w:t>团体和国际组织的比例相对较小。当前，我国在国际组织中的人才发展情况与欧美国家相比较为缓慢，中国未来更好地参与全球化发展，需要海归群体更加积极地参与到社会组织</w:t>
      </w:r>
      <w:r>
        <w:rPr>
          <w:rtl w:val="0"/>
          <w:lang w:val="en-US"/>
        </w:rPr>
        <w:t>/</w:t>
      </w:r>
      <w:r>
        <w:rPr>
          <w:rtl w:val="0"/>
          <w:lang w:val="zh-TW" w:eastAsia="zh-TW"/>
        </w:rPr>
        <w:t>团体、国际组织等形式的机构中，发挥好海归的国际化作用。</w:t>
      </w:r>
    </w:p>
    <w:p>
      <w:pPr>
        <w:pStyle w:val="Normal.0"/>
        <w:keepNext w:val="1"/>
      </w:pPr>
      <w:r>
        <w:drawing>
          <wp:inline distT="0" distB="0" distL="0" distR="0">
            <wp:extent cx="5185345" cy="2826588"/>
            <wp:effectExtent l="0" t="0" r="0" b="0"/>
            <wp:docPr id="1073741859" name="officeArt object"/>
            <wp:cNvGraphicFramePr/>
            <a:graphic xmlns:a="http://schemas.openxmlformats.org/drawingml/2006/main">
              <a:graphicData uri="http://schemas.openxmlformats.org/drawingml/2006/chart">
                <c:chart xmlns:c="http://schemas.openxmlformats.org/drawingml/2006/chart" r:id="rId35"/>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32 </w:t>
      </w:r>
      <w:r>
        <w:rPr>
          <w:rFonts w:ascii="黑体" w:cs="黑体" w:hAnsi="黑体" w:eastAsia="黑体"/>
          <w:rtl w:val="0"/>
          <w:lang w:val="zh-TW" w:eastAsia="zh-TW"/>
        </w:rPr>
        <w:t>就职企业属性</w:t>
      </w:r>
    </w:p>
    <w:p>
      <w:pPr>
        <w:pStyle w:val="Normal.0"/>
        <w:ind w:firstLine="420"/>
      </w:pPr>
      <w:r>
        <w:rPr>
          <w:rtl w:val="0"/>
          <w:lang w:val="zh-TW" w:eastAsia="zh-TW"/>
        </w:rPr>
        <w:t>海归就业单位的员工规模以</w:t>
      </w:r>
      <w:r>
        <w:rPr>
          <w:rtl w:val="0"/>
          <w:lang w:val="en-US"/>
        </w:rPr>
        <w:t>100-499</w:t>
      </w:r>
      <w:r>
        <w:rPr>
          <w:rtl w:val="0"/>
          <w:lang w:val="zh-TW" w:eastAsia="zh-TW"/>
        </w:rPr>
        <w:t>人的企业为主，所占比例为</w:t>
      </w:r>
      <w:r>
        <w:rPr>
          <w:rtl w:val="0"/>
          <w:lang w:val="en-US"/>
        </w:rPr>
        <w:t>28%</w:t>
      </w:r>
      <w:r>
        <w:rPr>
          <w:rtl w:val="0"/>
          <w:lang w:val="zh-TW" w:eastAsia="zh-TW"/>
        </w:rPr>
        <w:t>。就业单位员工规模在</w:t>
      </w:r>
      <w:r>
        <w:rPr>
          <w:rtl w:val="0"/>
          <w:lang w:val="en-US"/>
        </w:rPr>
        <w:t>21-99</w:t>
      </w:r>
      <w:r>
        <w:rPr>
          <w:rtl w:val="0"/>
          <w:lang w:val="zh-TW" w:eastAsia="zh-TW"/>
        </w:rPr>
        <w:t>人的比例为</w:t>
      </w:r>
      <w:r>
        <w:rPr>
          <w:rtl w:val="0"/>
          <w:lang w:val="en-US"/>
        </w:rPr>
        <w:t>23%</w:t>
      </w:r>
      <w:r>
        <w:rPr>
          <w:rtl w:val="0"/>
          <w:lang w:val="zh-TW" w:eastAsia="zh-TW"/>
        </w:rPr>
        <w:t>。此外，</w:t>
      </w:r>
      <w:r>
        <w:rPr>
          <w:rtl w:val="0"/>
          <w:lang w:val="en-US"/>
        </w:rPr>
        <w:t>1000-9999</w:t>
      </w:r>
      <w:r>
        <w:rPr>
          <w:rtl w:val="0"/>
          <w:lang w:val="zh-TW" w:eastAsia="zh-TW"/>
        </w:rPr>
        <w:t>人企业占比</w:t>
      </w:r>
      <w:r>
        <w:rPr>
          <w:rtl w:val="0"/>
          <w:lang w:val="en-US"/>
        </w:rPr>
        <w:t>16%</w:t>
      </w:r>
      <w:r>
        <w:rPr>
          <w:rtl w:val="0"/>
          <w:lang w:val="zh-TW" w:eastAsia="zh-TW"/>
        </w:rPr>
        <w:t>，</w:t>
      </w:r>
      <w:r>
        <w:rPr>
          <w:rtl w:val="0"/>
          <w:lang w:val="en-US"/>
        </w:rPr>
        <w:t>500-999</w:t>
      </w:r>
      <w:r>
        <w:rPr>
          <w:rtl w:val="0"/>
          <w:lang w:val="zh-TW" w:eastAsia="zh-TW"/>
        </w:rPr>
        <w:t>人、</w:t>
      </w:r>
      <w:r>
        <w:rPr>
          <w:rtl w:val="0"/>
          <w:lang w:val="en-US"/>
        </w:rPr>
        <w:t>10000</w:t>
      </w:r>
      <w:r>
        <w:rPr>
          <w:rtl w:val="0"/>
          <w:lang w:val="zh-TW" w:eastAsia="zh-TW"/>
        </w:rPr>
        <w:t>人以上和</w:t>
      </w:r>
      <w:r>
        <w:rPr>
          <w:rtl w:val="0"/>
          <w:lang w:val="en-US"/>
        </w:rPr>
        <w:t>20</w:t>
      </w:r>
      <w:r>
        <w:rPr>
          <w:rtl w:val="0"/>
          <w:lang w:val="zh-TW" w:eastAsia="zh-TW"/>
        </w:rPr>
        <w:t>人以下企业占比分别为</w:t>
      </w:r>
      <w:r>
        <w:rPr>
          <w:rtl w:val="0"/>
          <w:lang w:val="en-US"/>
        </w:rPr>
        <w:t>13%</w:t>
      </w:r>
      <w:r>
        <w:rPr>
          <w:rtl w:val="0"/>
          <w:lang w:val="zh-TW" w:eastAsia="zh-TW"/>
        </w:rPr>
        <w:t>、</w:t>
      </w:r>
      <w:r>
        <w:rPr>
          <w:rtl w:val="0"/>
          <w:lang w:val="en-US"/>
        </w:rPr>
        <w:t>11%</w:t>
      </w:r>
      <w:r>
        <w:rPr>
          <w:rtl w:val="0"/>
          <w:lang w:val="zh-TW" w:eastAsia="zh-TW"/>
        </w:rPr>
        <w:t>和</w:t>
      </w:r>
      <w:r>
        <w:rPr>
          <w:rtl w:val="0"/>
          <w:lang w:val="en-US"/>
        </w:rPr>
        <w:t>9%</w:t>
      </w:r>
      <w:r>
        <w:rPr>
          <w:rtl w:val="0"/>
          <w:lang w:val="zh-TW" w:eastAsia="zh-TW"/>
        </w:rPr>
        <w:t>。</w:t>
      </w:r>
    </w:p>
    <w:p>
      <w:pPr>
        <w:pStyle w:val="Normal.0"/>
        <w:keepNext w:val="1"/>
      </w:pPr>
      <w:r>
        <w:drawing>
          <wp:inline distT="0" distB="0" distL="0" distR="0">
            <wp:extent cx="5185345" cy="2826588"/>
            <wp:effectExtent l="0" t="0" r="0" b="0"/>
            <wp:docPr id="1073741860" name="officeArt object"/>
            <wp:cNvGraphicFramePr/>
            <a:graphic xmlns:a="http://schemas.openxmlformats.org/drawingml/2006/main">
              <a:graphicData uri="http://schemas.openxmlformats.org/drawingml/2006/chart">
                <c:chart xmlns:c="http://schemas.openxmlformats.org/drawingml/2006/chart" r:id="rId36"/>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33 </w:t>
      </w:r>
      <w:r>
        <w:rPr>
          <w:rFonts w:ascii="黑体" w:cs="黑体" w:hAnsi="黑体" w:eastAsia="黑体"/>
          <w:rtl w:val="0"/>
          <w:lang w:val="zh-TW" w:eastAsia="zh-TW"/>
        </w:rPr>
        <w:t>就职企业规模</w:t>
      </w:r>
    </w:p>
    <w:p>
      <w:pPr>
        <w:pStyle w:val="Normal.0"/>
        <w:ind w:firstLine="420"/>
      </w:pPr>
      <w:r>
        <w:rPr>
          <w:rtl w:val="0"/>
          <w:lang w:val="zh-TW" w:eastAsia="zh-TW"/>
        </w:rPr>
        <w:t>海归就业的工作岗位中，贸易</w:t>
      </w:r>
      <w:r>
        <w:rPr>
          <w:rtl w:val="0"/>
          <w:lang w:val="en-US"/>
        </w:rPr>
        <w:t>/</w:t>
      </w:r>
      <w:r>
        <w:rPr>
          <w:rtl w:val="0"/>
          <w:lang w:val="zh-TW" w:eastAsia="zh-TW"/>
        </w:rPr>
        <w:t>销售</w:t>
      </w:r>
      <w:r>
        <w:rPr>
          <w:rtl w:val="0"/>
          <w:lang w:val="en-US"/>
        </w:rPr>
        <w:t>/</w:t>
      </w:r>
      <w:r>
        <w:rPr>
          <w:rtl w:val="0"/>
          <w:lang w:val="zh-TW" w:eastAsia="zh-TW"/>
        </w:rPr>
        <w:t>业务类以</w:t>
      </w:r>
      <w:r>
        <w:rPr>
          <w:rtl w:val="0"/>
          <w:lang w:val="en-US"/>
        </w:rPr>
        <w:t>13%</w:t>
      </w:r>
      <w:r>
        <w:rPr>
          <w:rtl w:val="0"/>
          <w:lang w:val="zh-TW" w:eastAsia="zh-TW"/>
        </w:rPr>
        <w:t>的占比排名首位；其次分别为，经营管理类（</w:t>
      </w:r>
      <w:r>
        <w:rPr>
          <w:rtl w:val="0"/>
          <w:lang w:val="en-US"/>
        </w:rPr>
        <w:t>12%</w:t>
      </w:r>
      <w:r>
        <w:rPr>
          <w:rtl w:val="0"/>
          <w:lang w:val="zh-TW" w:eastAsia="zh-TW"/>
        </w:rPr>
        <w:t>）、行政</w:t>
      </w:r>
      <w:r>
        <w:rPr>
          <w:rtl w:val="0"/>
          <w:lang w:val="en-US"/>
        </w:rPr>
        <w:t>/</w:t>
      </w:r>
      <w:r>
        <w:rPr>
          <w:rtl w:val="0"/>
          <w:lang w:val="zh-TW" w:eastAsia="zh-TW"/>
        </w:rPr>
        <w:t>人力资源管理类（</w:t>
      </w:r>
      <w:r>
        <w:rPr>
          <w:rtl w:val="0"/>
          <w:lang w:val="en-US"/>
        </w:rPr>
        <w:t>9%</w:t>
      </w:r>
      <w:r>
        <w:rPr>
          <w:rtl w:val="0"/>
          <w:lang w:val="zh-TW" w:eastAsia="zh-TW"/>
        </w:rPr>
        <w:t>）、公关</w:t>
      </w:r>
      <w:r>
        <w:rPr>
          <w:rtl w:val="0"/>
          <w:lang w:val="en-US"/>
        </w:rPr>
        <w:t>/</w:t>
      </w:r>
      <w:r>
        <w:rPr>
          <w:rtl w:val="0"/>
          <w:lang w:val="zh-TW" w:eastAsia="zh-TW"/>
        </w:rPr>
        <w:t>市场营销类（</w:t>
      </w:r>
      <w:r>
        <w:rPr>
          <w:rtl w:val="0"/>
          <w:lang w:val="en-US"/>
        </w:rPr>
        <w:t>9%</w:t>
      </w:r>
      <w:r>
        <w:rPr>
          <w:rtl w:val="0"/>
          <w:lang w:val="zh-TW" w:eastAsia="zh-TW"/>
        </w:rPr>
        <w:t>）、金融</w:t>
      </w:r>
      <w:r>
        <w:rPr>
          <w:rtl w:val="0"/>
          <w:lang w:val="en-US"/>
        </w:rPr>
        <w:t>/</w:t>
      </w:r>
      <w:r>
        <w:rPr>
          <w:rtl w:val="0"/>
          <w:lang w:val="zh-TW" w:eastAsia="zh-TW"/>
        </w:rPr>
        <w:t>经济类（</w:t>
      </w:r>
      <w:r>
        <w:rPr>
          <w:rtl w:val="0"/>
          <w:lang w:val="en-US"/>
        </w:rPr>
        <w:t>7%</w:t>
      </w:r>
      <w:r>
        <w:rPr>
          <w:rtl w:val="0"/>
          <w:lang w:val="zh-TW" w:eastAsia="zh-TW"/>
        </w:rPr>
        <w:t>）、文化</w:t>
      </w:r>
      <w:r>
        <w:rPr>
          <w:rtl w:val="0"/>
          <w:lang w:val="en-US"/>
        </w:rPr>
        <w:t>/</w:t>
      </w:r>
      <w:r>
        <w:rPr>
          <w:rtl w:val="0"/>
          <w:lang w:val="zh-TW" w:eastAsia="zh-TW"/>
        </w:rPr>
        <w:t>教育</w:t>
      </w:r>
      <w:r>
        <w:rPr>
          <w:rtl w:val="0"/>
          <w:lang w:val="en-US"/>
        </w:rPr>
        <w:t>/</w:t>
      </w:r>
      <w:r>
        <w:rPr>
          <w:rtl w:val="0"/>
          <w:lang w:val="zh-TW" w:eastAsia="zh-TW"/>
        </w:rPr>
        <w:t>体育</w:t>
      </w:r>
      <w:r>
        <w:rPr>
          <w:rtl w:val="0"/>
          <w:lang w:val="en-US"/>
        </w:rPr>
        <w:t>/</w:t>
      </w:r>
      <w:r>
        <w:rPr>
          <w:rtl w:val="0"/>
          <w:lang w:val="zh-TW" w:eastAsia="zh-TW"/>
        </w:rPr>
        <w:t>艺术类（</w:t>
      </w:r>
      <w:r>
        <w:rPr>
          <w:rtl w:val="0"/>
          <w:lang w:val="en-US"/>
        </w:rPr>
        <w:t>6%</w:t>
      </w:r>
      <w:r>
        <w:rPr>
          <w:rtl w:val="0"/>
          <w:lang w:val="zh-TW" w:eastAsia="zh-TW"/>
        </w:rPr>
        <w:t>）等。从性别来看，男性与女性在工作岗位方面也有一定差异。男性海归更多地从事于贸易</w:t>
      </w:r>
      <w:r>
        <w:rPr>
          <w:rtl w:val="0"/>
          <w:lang w:val="en-US"/>
        </w:rPr>
        <w:t>/</w:t>
      </w:r>
      <w:r>
        <w:rPr>
          <w:rtl w:val="0"/>
          <w:lang w:val="zh-TW" w:eastAsia="zh-TW"/>
        </w:rPr>
        <w:t>销售</w:t>
      </w:r>
      <w:r>
        <w:rPr>
          <w:rtl w:val="0"/>
          <w:lang w:val="en-US"/>
        </w:rPr>
        <w:t>/</w:t>
      </w:r>
      <w:r>
        <w:rPr>
          <w:rtl w:val="0"/>
          <w:lang w:val="zh-TW" w:eastAsia="zh-TW"/>
        </w:rPr>
        <w:t>业务类、经营管理类和计算机</w:t>
      </w:r>
      <w:r>
        <w:rPr>
          <w:rtl w:val="0"/>
          <w:lang w:val="en-US"/>
        </w:rPr>
        <w:t>/</w:t>
      </w:r>
      <w:r>
        <w:rPr>
          <w:rtl w:val="0"/>
          <w:lang w:val="zh-TW" w:eastAsia="zh-TW"/>
        </w:rPr>
        <w:t>互联网类等岗位，女性海归则更多地从事于行政</w:t>
      </w:r>
      <w:r>
        <w:rPr>
          <w:rtl w:val="0"/>
          <w:lang w:val="en-US"/>
        </w:rPr>
        <w:t>/</w:t>
      </w:r>
      <w:r>
        <w:rPr>
          <w:rtl w:val="0"/>
          <w:lang w:val="zh-TW" w:eastAsia="zh-TW"/>
        </w:rPr>
        <w:t>人力资源管理类、公关</w:t>
      </w:r>
      <w:r>
        <w:rPr>
          <w:rtl w:val="0"/>
          <w:lang w:val="en-US"/>
        </w:rPr>
        <w:t>/</w:t>
      </w:r>
      <w:r>
        <w:rPr>
          <w:rtl w:val="0"/>
          <w:lang w:val="zh-TW" w:eastAsia="zh-TW"/>
        </w:rPr>
        <w:t>市场营销类和文化</w:t>
      </w:r>
      <w:r>
        <w:rPr>
          <w:rtl w:val="0"/>
          <w:lang w:val="en-US"/>
        </w:rPr>
        <w:t>/</w:t>
      </w:r>
      <w:r>
        <w:rPr>
          <w:rtl w:val="0"/>
          <w:lang w:val="zh-TW" w:eastAsia="zh-TW"/>
        </w:rPr>
        <w:t>教育</w:t>
      </w:r>
      <w:r>
        <w:rPr>
          <w:rtl w:val="0"/>
          <w:lang w:val="en-US"/>
        </w:rPr>
        <w:t>/</w:t>
      </w:r>
      <w:r>
        <w:rPr>
          <w:rtl w:val="0"/>
          <w:lang w:val="zh-TW" w:eastAsia="zh-TW"/>
        </w:rPr>
        <w:t>体育</w:t>
      </w:r>
      <w:r>
        <w:rPr>
          <w:rtl w:val="0"/>
          <w:lang w:val="en-US"/>
        </w:rPr>
        <w:t>/</w:t>
      </w:r>
      <w:r>
        <w:rPr>
          <w:rtl w:val="0"/>
          <w:lang w:val="zh-TW" w:eastAsia="zh-TW"/>
        </w:rPr>
        <w:t>艺术类等岗位。</w:t>
      </w:r>
    </w:p>
    <w:p>
      <w:pPr>
        <w:pStyle w:val="Normal.0"/>
        <w:keepNext w:val="1"/>
      </w:pPr>
      <w:r>
        <w:drawing>
          <wp:inline distT="0" distB="0" distL="0" distR="0">
            <wp:extent cx="5185345" cy="2826588"/>
            <wp:effectExtent l="0" t="0" r="0" b="0"/>
            <wp:docPr id="1073741861" name="officeArt object"/>
            <wp:cNvGraphicFramePr/>
            <a:graphic xmlns:a="http://schemas.openxmlformats.org/drawingml/2006/main">
              <a:graphicData uri="http://schemas.openxmlformats.org/drawingml/2006/chart">
                <c:chart xmlns:c="http://schemas.openxmlformats.org/drawingml/2006/chart" r:id="rId37"/>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34 </w:t>
      </w:r>
      <w:r>
        <w:rPr>
          <w:rFonts w:ascii="黑体" w:cs="黑体" w:hAnsi="黑体" w:eastAsia="黑体"/>
          <w:rtl w:val="0"/>
          <w:lang w:val="zh-TW" w:eastAsia="zh-TW"/>
        </w:rPr>
        <w:t>就职岗位</w:t>
      </w:r>
    </w:p>
    <w:p>
      <w:pPr>
        <w:pStyle w:val="Normal.0"/>
        <w:ind w:firstLine="420"/>
      </w:pPr>
      <w:r>
        <w:rPr>
          <w:rtl w:val="0"/>
          <w:lang w:val="zh-TW" w:eastAsia="zh-TW"/>
        </w:rPr>
        <w:t>在职级分布中，海归群体中</w:t>
      </w:r>
      <w:r>
        <w:rPr>
          <w:rtl w:val="0"/>
          <w:lang w:val="en-US"/>
        </w:rPr>
        <w:t>58%</w:t>
      </w:r>
      <w:r>
        <w:rPr>
          <w:rtl w:val="0"/>
          <w:lang w:val="zh-TW" w:eastAsia="zh-TW"/>
        </w:rPr>
        <w:t>的人为一般员工，基层管理者占比</w:t>
      </w:r>
      <w:r>
        <w:rPr>
          <w:rtl w:val="0"/>
          <w:lang w:val="en-US"/>
        </w:rPr>
        <w:t>23%</w:t>
      </w:r>
      <w:r>
        <w:rPr>
          <w:rtl w:val="0"/>
          <w:lang w:val="zh-TW" w:eastAsia="zh-TW"/>
        </w:rPr>
        <w:t>，中层管理者占比</w:t>
      </w:r>
      <w:r>
        <w:rPr>
          <w:rtl w:val="0"/>
          <w:lang w:val="en-US"/>
        </w:rPr>
        <w:t>15%</w:t>
      </w:r>
      <w:r>
        <w:rPr>
          <w:rtl w:val="0"/>
          <w:lang w:val="zh-TW" w:eastAsia="zh-TW"/>
        </w:rPr>
        <w:t>。高管层相对较少，仅为</w:t>
      </w:r>
      <w:r>
        <w:rPr>
          <w:rtl w:val="0"/>
          <w:lang w:val="en-US"/>
        </w:rPr>
        <w:t>3%</w:t>
      </w:r>
      <w:r>
        <w:rPr>
          <w:rtl w:val="0"/>
          <w:lang w:val="zh-TW" w:eastAsia="zh-TW"/>
        </w:rPr>
        <w:t>。</w:t>
      </w:r>
    </w:p>
    <w:p>
      <w:pPr>
        <w:pStyle w:val="Normal.0"/>
        <w:keepNext w:val="1"/>
      </w:pPr>
      <w:r>
        <w:drawing>
          <wp:inline distT="0" distB="0" distL="0" distR="0">
            <wp:extent cx="5185345" cy="2826588"/>
            <wp:effectExtent l="0" t="0" r="0" b="0"/>
            <wp:docPr id="1073741862" name="officeArt object"/>
            <wp:cNvGraphicFramePr/>
            <a:graphic xmlns:a="http://schemas.openxmlformats.org/drawingml/2006/main">
              <a:graphicData uri="http://schemas.openxmlformats.org/drawingml/2006/chart">
                <c:chart xmlns:c="http://schemas.openxmlformats.org/drawingml/2006/chart" r:id="rId38"/>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35 </w:t>
      </w:r>
      <w:r>
        <w:rPr>
          <w:rFonts w:ascii="黑体" w:cs="黑体" w:hAnsi="黑体" w:eastAsia="黑体"/>
          <w:rtl w:val="0"/>
          <w:lang w:val="zh-TW" w:eastAsia="zh-TW"/>
        </w:rPr>
        <w:t>所处职级</w:t>
      </w:r>
    </w:p>
    <w:p>
      <w:pPr>
        <w:pStyle w:val="Normal.0"/>
        <w:ind w:firstLine="420"/>
      </w:pPr>
      <w:r>
        <w:rPr>
          <w:rtl w:val="0"/>
          <w:lang w:val="zh-TW" w:eastAsia="zh-TW"/>
        </w:rPr>
        <w:t>在海归的税前月收入分布情况中，近七成海归税前月收入在</w:t>
      </w:r>
      <w:r>
        <w:rPr>
          <w:rtl w:val="0"/>
          <w:lang w:val="en-US"/>
        </w:rPr>
        <w:t>6000</w:t>
      </w:r>
      <w:r>
        <w:rPr>
          <w:rtl w:val="0"/>
          <w:lang w:val="zh-TW" w:eastAsia="zh-TW"/>
        </w:rPr>
        <w:t>元以上。但从单项对比来看，</w:t>
      </w:r>
      <w:r>
        <w:rPr>
          <w:rtl w:val="0"/>
          <w:lang w:val="en-US"/>
        </w:rPr>
        <w:t>6000</w:t>
      </w:r>
      <w:r>
        <w:rPr>
          <w:rtl w:val="0"/>
          <w:lang w:val="zh-TW" w:eastAsia="zh-TW"/>
        </w:rPr>
        <w:t>元及以下群体占比最高，为</w:t>
      </w:r>
      <w:r>
        <w:rPr>
          <w:rtl w:val="0"/>
          <w:lang w:val="en-US"/>
        </w:rPr>
        <w:t>33%</w:t>
      </w:r>
      <w:r>
        <w:rPr>
          <w:rtl w:val="0"/>
          <w:lang w:val="zh-TW" w:eastAsia="zh-TW"/>
        </w:rPr>
        <w:t>。收入在</w:t>
      </w:r>
      <w:r>
        <w:rPr>
          <w:rtl w:val="0"/>
          <w:lang w:val="en-US"/>
        </w:rPr>
        <w:t>6000</w:t>
      </w:r>
      <w:r>
        <w:rPr>
          <w:rtl w:val="0"/>
          <w:lang w:val="zh-TW" w:eastAsia="zh-TW"/>
        </w:rPr>
        <w:t>元以上的海归群体中，</w:t>
      </w:r>
      <w:r>
        <w:rPr>
          <w:rtl w:val="0"/>
          <w:lang w:val="en-US"/>
        </w:rPr>
        <w:t>6001-8000</w:t>
      </w:r>
      <w:r>
        <w:rPr>
          <w:rtl w:val="0"/>
          <w:lang w:val="zh-TW" w:eastAsia="zh-TW"/>
        </w:rPr>
        <w:t>元群体占比</w:t>
      </w:r>
      <w:r>
        <w:rPr>
          <w:rtl w:val="0"/>
          <w:lang w:val="en-US"/>
        </w:rPr>
        <w:t>25%</w:t>
      </w:r>
      <w:r>
        <w:rPr>
          <w:rtl w:val="0"/>
          <w:lang w:val="zh-TW" w:eastAsia="zh-TW"/>
        </w:rPr>
        <w:t>，</w:t>
      </w:r>
      <w:r>
        <w:rPr>
          <w:rtl w:val="0"/>
          <w:lang w:val="en-US"/>
        </w:rPr>
        <w:t>8001-10000</w:t>
      </w:r>
      <w:r>
        <w:rPr>
          <w:rtl w:val="0"/>
          <w:lang w:val="zh-TW" w:eastAsia="zh-TW"/>
        </w:rPr>
        <w:t>元群体占比</w:t>
      </w:r>
      <w:r>
        <w:rPr>
          <w:rtl w:val="0"/>
          <w:lang w:val="en-US"/>
        </w:rPr>
        <w:t>15%</w:t>
      </w:r>
      <w:r>
        <w:rPr>
          <w:rtl w:val="0"/>
          <w:lang w:val="zh-TW" w:eastAsia="zh-TW"/>
        </w:rPr>
        <w:t>，</w:t>
      </w:r>
      <w:r>
        <w:rPr>
          <w:rtl w:val="0"/>
          <w:lang w:val="en-US"/>
        </w:rPr>
        <w:t>10001-15000</w:t>
      </w:r>
      <w:r>
        <w:rPr>
          <w:rtl w:val="0"/>
          <w:lang w:val="zh-TW" w:eastAsia="zh-TW"/>
        </w:rPr>
        <w:t>元群体占比</w:t>
      </w:r>
      <w:r>
        <w:rPr>
          <w:rtl w:val="0"/>
          <w:lang w:val="en-US"/>
        </w:rPr>
        <w:t>15%</w:t>
      </w:r>
      <w:r>
        <w:rPr>
          <w:rtl w:val="0"/>
          <w:lang w:val="zh-TW" w:eastAsia="zh-TW"/>
        </w:rPr>
        <w:t>，</w:t>
      </w:r>
      <w:r>
        <w:rPr>
          <w:rtl w:val="0"/>
          <w:lang w:val="en-US"/>
        </w:rPr>
        <w:t>15000</w:t>
      </w:r>
      <w:r>
        <w:rPr>
          <w:rtl w:val="0"/>
          <w:lang w:val="zh-TW" w:eastAsia="zh-TW"/>
        </w:rPr>
        <w:t>元以上群体占比</w:t>
      </w:r>
      <w:r>
        <w:rPr>
          <w:rtl w:val="0"/>
          <w:lang w:val="en-US"/>
        </w:rPr>
        <w:t>12%</w:t>
      </w:r>
      <w:r>
        <w:rPr>
          <w:rtl w:val="0"/>
          <w:lang w:val="zh-TW" w:eastAsia="zh-TW"/>
        </w:rPr>
        <w:t>。从性别来看，税前月收入在</w:t>
      </w:r>
      <w:r>
        <w:rPr>
          <w:rtl w:val="0"/>
          <w:lang w:val="en-US"/>
        </w:rPr>
        <w:t>8000</w:t>
      </w:r>
      <w:r>
        <w:rPr>
          <w:rtl w:val="0"/>
          <w:lang w:val="zh-TW" w:eastAsia="zh-TW"/>
        </w:rPr>
        <w:t>元及以下的女性占比高于男性，税前月收入在</w:t>
      </w:r>
      <w:r>
        <w:rPr>
          <w:rtl w:val="0"/>
          <w:lang w:val="en-US"/>
        </w:rPr>
        <w:t>8001-10000</w:t>
      </w:r>
      <w:r>
        <w:rPr>
          <w:rtl w:val="0"/>
          <w:lang w:val="zh-TW" w:eastAsia="zh-TW"/>
        </w:rPr>
        <w:t>元的女性占比低于男性，税前月收入在</w:t>
      </w:r>
      <w:r>
        <w:rPr>
          <w:rtl w:val="0"/>
          <w:lang w:val="en-US"/>
        </w:rPr>
        <w:t>10000</w:t>
      </w:r>
      <w:r>
        <w:rPr>
          <w:rtl w:val="0"/>
          <w:lang w:val="zh-TW" w:eastAsia="zh-TW"/>
        </w:rPr>
        <w:t>元以上的占比则没有显著差别。相比</w:t>
      </w:r>
      <w:r>
        <w:rPr>
          <w:rtl w:val="0"/>
          <w:lang w:val="en-US"/>
        </w:rPr>
        <w:t>2017</w:t>
      </w:r>
      <w:r>
        <w:rPr>
          <w:rtl w:val="0"/>
          <w:lang w:val="zh-TW" w:eastAsia="zh-TW"/>
        </w:rPr>
        <w:t>年，海归税前月收入在</w:t>
      </w:r>
      <w:r>
        <w:rPr>
          <w:rtl w:val="0"/>
          <w:lang w:val="en-US"/>
        </w:rPr>
        <w:t>6000</w:t>
      </w:r>
      <w:r>
        <w:rPr>
          <w:rtl w:val="0"/>
          <w:lang w:val="zh-TW" w:eastAsia="zh-TW"/>
        </w:rPr>
        <w:t>元以下的比例下降了</w:t>
      </w:r>
      <w:r>
        <w:rPr>
          <w:rtl w:val="0"/>
          <w:lang w:val="en-US"/>
        </w:rPr>
        <w:t>12</w:t>
      </w:r>
      <w:r>
        <w:rPr>
          <w:rtl w:val="0"/>
          <w:lang w:val="zh-TW" w:eastAsia="zh-TW"/>
        </w:rPr>
        <w:t>个百分点（</w:t>
      </w:r>
      <w:r>
        <w:rPr>
          <w:rtl w:val="0"/>
          <w:lang w:val="en-US"/>
        </w:rPr>
        <w:t>2017</w:t>
      </w:r>
      <w:r>
        <w:rPr>
          <w:rtl w:val="0"/>
          <w:lang w:val="zh-TW" w:eastAsia="zh-TW"/>
        </w:rPr>
        <w:t>年为</w:t>
      </w:r>
      <w:r>
        <w:rPr>
          <w:rtl w:val="0"/>
          <w:lang w:val="en-US"/>
        </w:rPr>
        <w:t>48%</w:t>
      </w:r>
      <w:r>
        <w:rPr>
          <w:rtl w:val="0"/>
          <w:lang w:val="zh-TW" w:eastAsia="zh-TW"/>
        </w:rPr>
        <w:t>），同时，</w:t>
      </w:r>
      <w:r>
        <w:rPr>
          <w:rtl w:val="0"/>
          <w:lang w:val="en-US"/>
        </w:rPr>
        <w:t>6001-8000</w:t>
      </w:r>
      <w:r>
        <w:rPr>
          <w:rtl w:val="0"/>
          <w:lang w:val="zh-TW" w:eastAsia="zh-TW"/>
        </w:rPr>
        <w:t>元、</w:t>
      </w:r>
      <w:r>
        <w:rPr>
          <w:rtl w:val="0"/>
          <w:lang w:val="en-US"/>
        </w:rPr>
        <w:t>8001-10000</w:t>
      </w:r>
      <w:r>
        <w:rPr>
          <w:rtl w:val="0"/>
          <w:lang w:val="zh-TW" w:eastAsia="zh-TW"/>
        </w:rPr>
        <w:t>元区间均增加了</w:t>
      </w:r>
      <w:r>
        <w:rPr>
          <w:rtl w:val="0"/>
          <w:lang w:val="en-US"/>
        </w:rPr>
        <w:t>2</w:t>
      </w:r>
      <w:r>
        <w:rPr>
          <w:rtl w:val="0"/>
          <w:lang w:val="zh-TW" w:eastAsia="zh-TW"/>
        </w:rPr>
        <w:t>个百分点，</w:t>
      </w:r>
      <w:r>
        <w:rPr>
          <w:rtl w:val="0"/>
          <w:lang w:val="en-US"/>
        </w:rPr>
        <w:t>10001-20000</w:t>
      </w:r>
      <w:r>
        <w:rPr>
          <w:rtl w:val="0"/>
          <w:lang w:val="zh-TW" w:eastAsia="zh-TW"/>
        </w:rPr>
        <w:t>元区间增幅高达</w:t>
      </w:r>
      <w:r>
        <w:rPr>
          <w:rtl w:val="0"/>
          <w:lang w:val="en-US"/>
        </w:rPr>
        <w:t>7</w:t>
      </w:r>
      <w:r>
        <w:rPr>
          <w:rtl w:val="0"/>
          <w:lang w:val="zh-TW" w:eastAsia="zh-TW"/>
        </w:rPr>
        <w:t>个百分点，海归薪资待遇有所提升。</w:t>
      </w:r>
    </w:p>
    <w:p>
      <w:pPr>
        <w:pStyle w:val="Normal.0"/>
        <w:keepNext w:val="1"/>
      </w:pPr>
      <w:r>
        <w:drawing>
          <wp:inline distT="0" distB="0" distL="0" distR="0">
            <wp:extent cx="5185345" cy="2826588"/>
            <wp:effectExtent l="0" t="0" r="0" b="0"/>
            <wp:docPr id="1073741863" name="officeArt object"/>
            <wp:cNvGraphicFramePr/>
            <a:graphic xmlns:a="http://schemas.openxmlformats.org/drawingml/2006/main">
              <a:graphicData uri="http://schemas.openxmlformats.org/drawingml/2006/chart">
                <c:chart xmlns:c="http://schemas.openxmlformats.org/drawingml/2006/chart" r:id="rId39"/>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36 </w:t>
      </w:r>
      <w:r>
        <w:rPr>
          <w:rFonts w:ascii="黑体" w:cs="黑体" w:hAnsi="黑体" w:eastAsia="黑体"/>
          <w:rtl w:val="0"/>
          <w:lang w:val="zh-TW" w:eastAsia="zh-TW"/>
        </w:rPr>
        <w:t>税前月收入</w:t>
      </w:r>
    </w:p>
    <w:p>
      <w:pPr>
        <w:pStyle w:val="heading 2"/>
      </w:pPr>
      <w:r>
        <w:rPr>
          <w:rtl w:val="0"/>
          <w:lang w:val="zh-TW" w:eastAsia="zh-TW"/>
        </w:rPr>
        <w:t>（三）职业发展：逾七成海归认为其工作岗位与海外所学专业匹配度不高；</w:t>
      </w:r>
      <w:r>
        <w:rPr>
          <w:rtl w:val="0"/>
          <w:lang w:val="en-US"/>
        </w:rPr>
        <w:t>80%</w:t>
      </w:r>
      <w:r>
        <w:rPr>
          <w:rtl w:val="0"/>
          <w:lang w:val="zh-TW" w:eastAsia="zh-TW"/>
        </w:rPr>
        <w:t>的海归认为其收入水平低于预期；超过半数海归有更换工作的经历，主要原因是企业发展前景不明和薪资水平问题。</w:t>
      </w:r>
    </w:p>
    <w:p>
      <w:pPr>
        <w:pStyle w:val="Normal.0"/>
        <w:ind w:firstLine="420"/>
      </w:pPr>
      <w:r>
        <w:rPr>
          <w:rtl w:val="0"/>
          <w:lang w:val="zh-TW" w:eastAsia="zh-TW"/>
        </w:rPr>
        <w:t>进一步调查发现，海归群体普遍认为当前工作岗位与所学专业匹配程度不高。认为非常匹配的仅占</w:t>
      </w:r>
      <w:r>
        <w:rPr>
          <w:rtl w:val="0"/>
          <w:lang w:val="en-US"/>
        </w:rPr>
        <w:t>5%</w:t>
      </w:r>
      <w:r>
        <w:rPr>
          <w:rtl w:val="0"/>
          <w:lang w:val="zh-TW" w:eastAsia="zh-TW"/>
        </w:rPr>
        <w:t>，认为匹配程度较好的占比</w:t>
      </w:r>
      <w:r>
        <w:rPr>
          <w:rtl w:val="0"/>
          <w:lang w:val="en-US"/>
        </w:rPr>
        <w:t>23%</w:t>
      </w:r>
      <w:r>
        <w:rPr>
          <w:rtl w:val="0"/>
          <w:lang w:val="zh-TW" w:eastAsia="zh-TW"/>
        </w:rPr>
        <w:t>，认为匹配程度一般、匹配程度较差和完全不匹配的比例分别为</w:t>
      </w:r>
      <w:r>
        <w:rPr>
          <w:rtl w:val="0"/>
          <w:lang w:val="en-US"/>
        </w:rPr>
        <w:t>34%</w:t>
      </w:r>
      <w:r>
        <w:rPr>
          <w:rtl w:val="0"/>
          <w:lang w:val="zh-TW" w:eastAsia="zh-TW"/>
        </w:rPr>
        <w:t>、</w:t>
      </w:r>
      <w:r>
        <w:rPr>
          <w:rtl w:val="0"/>
          <w:lang w:val="en-US"/>
        </w:rPr>
        <w:t>18%</w:t>
      </w:r>
      <w:r>
        <w:rPr>
          <w:rtl w:val="0"/>
          <w:lang w:val="zh-TW" w:eastAsia="zh-TW"/>
        </w:rPr>
        <w:t>、</w:t>
      </w:r>
      <w:r>
        <w:rPr>
          <w:rtl w:val="0"/>
          <w:lang w:val="en-US"/>
        </w:rPr>
        <w:t>20%</w:t>
      </w:r>
      <w:r>
        <w:rPr>
          <w:rtl w:val="0"/>
          <w:lang w:val="zh-TW" w:eastAsia="zh-TW"/>
        </w:rPr>
        <w:t>。海归就业岗位与其所学专业的匹配程度在一定程度上影响了海归群体对于个人发展的预期。</w:t>
      </w:r>
    </w:p>
    <w:p>
      <w:pPr>
        <w:pStyle w:val="Normal.0"/>
        <w:keepNext w:val="1"/>
      </w:pPr>
      <w:r>
        <w:drawing>
          <wp:inline distT="0" distB="0" distL="0" distR="0">
            <wp:extent cx="5185345" cy="2826588"/>
            <wp:effectExtent l="0" t="0" r="0" b="0"/>
            <wp:docPr id="1073741864" name="officeArt object"/>
            <wp:cNvGraphicFramePr/>
            <a:graphic xmlns:a="http://schemas.openxmlformats.org/drawingml/2006/main">
              <a:graphicData uri="http://schemas.openxmlformats.org/drawingml/2006/chart">
                <c:chart xmlns:c="http://schemas.openxmlformats.org/drawingml/2006/chart" r:id="rId40"/>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37 </w:t>
      </w:r>
      <w:r>
        <w:rPr>
          <w:rFonts w:ascii="黑体" w:cs="黑体" w:hAnsi="黑体" w:eastAsia="黑体"/>
          <w:rtl w:val="0"/>
          <w:lang w:val="zh-TW" w:eastAsia="zh-TW"/>
        </w:rPr>
        <w:t>就职岗位与所学专业匹配程度</w:t>
      </w:r>
    </w:p>
    <w:p>
      <w:pPr>
        <w:pStyle w:val="Normal.0"/>
        <w:ind w:firstLine="420"/>
      </w:pPr>
      <w:r>
        <w:rPr>
          <w:rtl w:val="0"/>
          <w:lang w:val="zh-TW" w:eastAsia="zh-TW"/>
        </w:rPr>
        <w:t>工作收入与个人期望相比，认为收入高于甚至远高于预期的海归不足</w:t>
      </w:r>
      <w:r>
        <w:rPr>
          <w:rtl w:val="0"/>
          <w:lang w:val="en-US"/>
        </w:rPr>
        <w:t>1%</w:t>
      </w:r>
      <w:r>
        <w:rPr>
          <w:rtl w:val="0"/>
          <w:lang w:val="zh-TW" w:eastAsia="zh-TW"/>
        </w:rPr>
        <w:t>；仅有</w:t>
      </w:r>
      <w:r>
        <w:rPr>
          <w:rtl w:val="0"/>
          <w:lang w:val="en-US"/>
        </w:rPr>
        <w:t>19%</w:t>
      </w:r>
      <w:r>
        <w:rPr>
          <w:rtl w:val="0"/>
          <w:lang w:val="zh-TW" w:eastAsia="zh-TW"/>
        </w:rPr>
        <w:t>的海归认为工作收入基本符合预期；认为收入水平低于预期和远低于预期的海归占比分别为</w:t>
      </w:r>
      <w:r>
        <w:rPr>
          <w:rtl w:val="0"/>
          <w:lang w:val="en-US"/>
        </w:rPr>
        <w:t>49%</w:t>
      </w:r>
      <w:r>
        <w:rPr>
          <w:rtl w:val="0"/>
          <w:lang w:val="zh-TW" w:eastAsia="zh-TW"/>
        </w:rPr>
        <w:t>和</w:t>
      </w:r>
      <w:r>
        <w:rPr>
          <w:rtl w:val="0"/>
          <w:lang w:val="en-US"/>
        </w:rPr>
        <w:t>31%</w:t>
      </w:r>
      <w:r>
        <w:rPr>
          <w:rtl w:val="0"/>
          <w:lang w:val="zh-TW" w:eastAsia="zh-TW"/>
        </w:rPr>
        <w:t>。综合来看，虽然海归群体的整体收入水平较</w:t>
      </w:r>
      <w:r>
        <w:rPr>
          <w:rtl w:val="0"/>
          <w:lang w:val="en-US"/>
        </w:rPr>
        <w:t>2017</w:t>
      </w:r>
      <w:r>
        <w:rPr>
          <w:rtl w:val="0"/>
          <w:lang w:val="zh-TW" w:eastAsia="zh-TW"/>
        </w:rPr>
        <w:t>年有所提升，但</w:t>
      </w:r>
      <w:r>
        <w:rPr>
          <w:rtl w:val="0"/>
          <w:lang w:val="en-US"/>
        </w:rPr>
        <w:t>80%</w:t>
      </w:r>
      <w:r>
        <w:rPr>
          <w:rtl w:val="0"/>
          <w:lang w:val="zh-TW" w:eastAsia="zh-TW"/>
        </w:rPr>
        <w:t>的海归认为收入水平低于预期的情况，较</w:t>
      </w:r>
      <w:r>
        <w:rPr>
          <w:rtl w:val="0"/>
          <w:lang w:val="en-US"/>
        </w:rPr>
        <w:t>2017</w:t>
      </w:r>
      <w:r>
        <w:rPr>
          <w:rtl w:val="0"/>
          <w:lang w:val="zh-TW" w:eastAsia="zh-TW"/>
        </w:rPr>
        <w:t>年</w:t>
      </w:r>
      <w:r>
        <w:rPr>
          <w:rtl w:val="0"/>
          <w:lang w:val="en-US"/>
        </w:rPr>
        <w:t>69%</w:t>
      </w:r>
      <w:r>
        <w:rPr>
          <w:rtl w:val="0"/>
          <w:lang w:val="zh-TW" w:eastAsia="zh-TW"/>
        </w:rPr>
        <w:t>的比例来看，海归群体收入与预期矛盾进一步加剧。</w:t>
      </w:r>
    </w:p>
    <w:p>
      <w:pPr>
        <w:pStyle w:val="Normal.0"/>
        <w:keepNext w:val="1"/>
      </w:pPr>
      <w:r>
        <w:drawing>
          <wp:inline distT="0" distB="0" distL="0" distR="0">
            <wp:extent cx="5185345" cy="2826588"/>
            <wp:effectExtent l="0" t="0" r="0" b="0"/>
            <wp:docPr id="1073741865" name="officeArt object"/>
            <wp:cNvGraphicFramePr/>
            <a:graphic xmlns:a="http://schemas.openxmlformats.org/drawingml/2006/main">
              <a:graphicData uri="http://schemas.openxmlformats.org/drawingml/2006/chart">
                <c:chart xmlns:c="http://schemas.openxmlformats.org/drawingml/2006/chart" r:id="rId41"/>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38 </w:t>
      </w:r>
      <w:r>
        <w:rPr>
          <w:rFonts w:ascii="黑体" w:cs="黑体" w:hAnsi="黑体" w:eastAsia="黑体"/>
          <w:rtl w:val="0"/>
          <w:lang w:val="zh-TW" w:eastAsia="zh-TW"/>
        </w:rPr>
        <w:t>收入是否达到预期</w:t>
      </w:r>
    </w:p>
    <w:p>
      <w:pPr>
        <w:pStyle w:val="Normal.0"/>
        <w:ind w:firstLine="420"/>
      </w:pPr>
      <w:r>
        <w:rPr>
          <w:rtl w:val="0"/>
          <w:lang w:val="zh-TW" w:eastAsia="zh-TW"/>
        </w:rPr>
        <w:t>超过半数的海归群体有更换工作的经历。其中，更换</w:t>
      </w:r>
      <w:r>
        <w:rPr>
          <w:rtl w:val="0"/>
          <w:lang w:val="en-US"/>
        </w:rPr>
        <w:t>1</w:t>
      </w:r>
      <w:r>
        <w:rPr>
          <w:rtl w:val="0"/>
          <w:lang w:val="zh-TW" w:eastAsia="zh-TW"/>
        </w:rPr>
        <w:t>次、</w:t>
      </w:r>
      <w:r>
        <w:rPr>
          <w:rtl w:val="0"/>
          <w:lang w:val="en-US"/>
        </w:rPr>
        <w:t>2</w:t>
      </w:r>
      <w:r>
        <w:rPr>
          <w:rtl w:val="0"/>
          <w:lang w:val="zh-TW" w:eastAsia="zh-TW"/>
        </w:rPr>
        <w:t>次和</w:t>
      </w:r>
      <w:r>
        <w:rPr>
          <w:rtl w:val="0"/>
          <w:lang w:val="en-US"/>
        </w:rPr>
        <w:t>3</w:t>
      </w:r>
      <w:r>
        <w:rPr>
          <w:rtl w:val="0"/>
          <w:lang w:val="zh-TW" w:eastAsia="zh-TW"/>
        </w:rPr>
        <w:t>次及以上的比例分别为</w:t>
      </w:r>
      <w:r>
        <w:rPr>
          <w:rtl w:val="0"/>
          <w:lang w:val="en-US"/>
        </w:rPr>
        <w:t>25%</w:t>
      </w:r>
      <w:r>
        <w:rPr>
          <w:rtl w:val="0"/>
          <w:lang w:val="zh-TW" w:eastAsia="zh-TW"/>
        </w:rPr>
        <w:t>、</w:t>
      </w:r>
      <w:r>
        <w:rPr>
          <w:rtl w:val="0"/>
          <w:lang w:val="en-US"/>
        </w:rPr>
        <w:t>17%</w:t>
      </w:r>
      <w:r>
        <w:rPr>
          <w:rtl w:val="0"/>
          <w:lang w:val="zh-TW" w:eastAsia="zh-TW"/>
        </w:rPr>
        <w:t>和</w:t>
      </w:r>
      <w:r>
        <w:rPr>
          <w:rtl w:val="0"/>
          <w:lang w:val="en-US"/>
        </w:rPr>
        <w:t>12%</w:t>
      </w:r>
      <w:r>
        <w:rPr>
          <w:rtl w:val="0"/>
          <w:lang w:val="zh-TW" w:eastAsia="zh-TW"/>
        </w:rPr>
        <w:t>。没有更换工作的海归占比为</w:t>
      </w:r>
      <w:r>
        <w:rPr>
          <w:rtl w:val="0"/>
          <w:lang w:val="en-US"/>
        </w:rPr>
        <w:t>46%</w:t>
      </w:r>
      <w:r>
        <w:rPr>
          <w:rtl w:val="0"/>
          <w:lang w:val="zh-TW" w:eastAsia="zh-TW"/>
        </w:rPr>
        <w:t>。对比</w:t>
      </w:r>
      <w:r>
        <w:rPr>
          <w:rtl w:val="0"/>
          <w:lang w:val="en-US"/>
        </w:rPr>
        <w:t>2017</w:t>
      </w:r>
      <w:r>
        <w:rPr>
          <w:rtl w:val="0"/>
          <w:lang w:val="zh-TW" w:eastAsia="zh-TW"/>
        </w:rPr>
        <w:t>年的数据而言，海归群体中没有更换工作经历的比例下降了</w:t>
      </w:r>
      <w:r>
        <w:rPr>
          <w:rtl w:val="0"/>
          <w:lang w:val="en-US"/>
        </w:rPr>
        <w:t>7</w:t>
      </w:r>
      <w:r>
        <w:rPr>
          <w:rtl w:val="0"/>
          <w:lang w:val="zh-TW" w:eastAsia="zh-TW"/>
        </w:rPr>
        <w:t>个百分点，同时，更换</w:t>
      </w:r>
      <w:r>
        <w:rPr>
          <w:rtl w:val="0"/>
          <w:lang w:val="en-US"/>
        </w:rPr>
        <w:t>1</w:t>
      </w:r>
      <w:r>
        <w:rPr>
          <w:rtl w:val="0"/>
          <w:lang w:val="zh-TW" w:eastAsia="zh-TW"/>
        </w:rPr>
        <w:t>次、</w:t>
      </w:r>
      <w:r>
        <w:rPr>
          <w:rtl w:val="0"/>
          <w:lang w:val="en-US"/>
        </w:rPr>
        <w:t>2</w:t>
      </w:r>
      <w:r>
        <w:rPr>
          <w:rtl w:val="0"/>
          <w:lang w:val="zh-TW" w:eastAsia="zh-TW"/>
        </w:rPr>
        <w:t>次的比例分别增加了</w:t>
      </w:r>
      <w:r>
        <w:rPr>
          <w:rtl w:val="0"/>
          <w:lang w:val="en-US"/>
        </w:rPr>
        <w:t>4</w:t>
      </w:r>
      <w:r>
        <w:rPr>
          <w:rtl w:val="0"/>
          <w:lang w:val="zh-TW" w:eastAsia="zh-TW"/>
        </w:rPr>
        <w:t>个和</w:t>
      </w:r>
      <w:r>
        <w:rPr>
          <w:rtl w:val="0"/>
          <w:lang w:val="en-US"/>
        </w:rPr>
        <w:t>2</w:t>
      </w:r>
      <w:r>
        <w:rPr>
          <w:rtl w:val="0"/>
          <w:lang w:val="zh-TW" w:eastAsia="zh-TW"/>
        </w:rPr>
        <w:t>个百分点，海归第一、二份工作的稳定性稍有下降。</w:t>
      </w:r>
    </w:p>
    <w:p>
      <w:pPr>
        <w:pStyle w:val="Normal.0"/>
        <w:keepNext w:val="1"/>
      </w:pPr>
      <w:r>
        <w:drawing>
          <wp:inline distT="0" distB="0" distL="0" distR="0">
            <wp:extent cx="5185345" cy="2826588"/>
            <wp:effectExtent l="0" t="0" r="0" b="0"/>
            <wp:docPr id="1073741866" name="officeArt object"/>
            <wp:cNvGraphicFramePr/>
            <a:graphic xmlns:a="http://schemas.openxmlformats.org/drawingml/2006/main">
              <a:graphicData uri="http://schemas.openxmlformats.org/drawingml/2006/chart">
                <c:chart xmlns:c="http://schemas.openxmlformats.org/drawingml/2006/chart" r:id="rId42"/>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39 </w:t>
      </w:r>
      <w:r>
        <w:rPr>
          <w:rFonts w:ascii="黑体" w:cs="黑体" w:hAnsi="黑体" w:eastAsia="黑体"/>
          <w:rtl w:val="0"/>
          <w:lang w:val="zh-TW" w:eastAsia="zh-TW"/>
        </w:rPr>
        <w:t>是否有更换工作的经历</w:t>
      </w:r>
    </w:p>
    <w:p>
      <w:pPr>
        <w:pStyle w:val="Normal.0"/>
        <w:ind w:firstLine="420"/>
      </w:pPr>
      <w:r>
        <w:rPr>
          <w:rtl w:val="0"/>
          <w:lang w:val="zh-TW" w:eastAsia="zh-TW"/>
        </w:rPr>
        <w:t>深入分析工作变动的原因，结果如下：企业发展前景不明是最主要的原因，占比达到</w:t>
      </w:r>
      <w:r>
        <w:rPr>
          <w:rtl w:val="0"/>
          <w:lang w:val="en-US"/>
        </w:rPr>
        <w:t>25%</w:t>
      </w:r>
      <w:r>
        <w:rPr>
          <w:rtl w:val="0"/>
          <w:lang w:val="zh-TW" w:eastAsia="zh-TW"/>
        </w:rPr>
        <w:t>；</w:t>
      </w:r>
      <w:r>
        <w:rPr>
          <w:rtl w:val="0"/>
          <w:lang w:val="en-US"/>
        </w:rPr>
        <w:t>22%</w:t>
      </w:r>
      <w:r>
        <w:rPr>
          <w:rtl w:val="0"/>
          <w:lang w:val="zh-TW" w:eastAsia="zh-TW"/>
        </w:rPr>
        <w:t>的海归由于薪酬水平跳槽；</w:t>
      </w:r>
      <w:r>
        <w:rPr>
          <w:rtl w:val="0"/>
          <w:lang w:val="en-US"/>
        </w:rPr>
        <w:t>“</w:t>
      </w:r>
      <w:r>
        <w:rPr>
          <w:rtl w:val="0"/>
          <w:lang w:val="zh-TW" w:eastAsia="zh-TW"/>
        </w:rPr>
        <w:t>有了更好的机会</w:t>
      </w:r>
      <w:r>
        <w:rPr>
          <w:rtl w:val="0"/>
          <w:lang w:val="en-US"/>
        </w:rPr>
        <w:t>”</w:t>
      </w:r>
      <w:r>
        <w:rPr>
          <w:rtl w:val="0"/>
          <w:lang w:val="zh-TW" w:eastAsia="zh-TW"/>
        </w:rPr>
        <w:t>、</w:t>
      </w:r>
      <w:r>
        <w:rPr>
          <w:rtl w:val="0"/>
          <w:lang w:val="en-US"/>
        </w:rPr>
        <w:t>“</w:t>
      </w:r>
      <w:r>
        <w:rPr>
          <w:rtl w:val="0"/>
          <w:lang w:val="zh-TW" w:eastAsia="zh-TW"/>
        </w:rPr>
        <w:t>职位晋升受限</w:t>
      </w:r>
      <w:r>
        <w:rPr>
          <w:rtl w:val="0"/>
          <w:lang w:val="en-US"/>
        </w:rPr>
        <w:t>”</w:t>
      </w:r>
      <w:r>
        <w:rPr>
          <w:rtl w:val="0"/>
          <w:lang w:val="zh-TW" w:eastAsia="zh-TW"/>
        </w:rPr>
        <w:t>、</w:t>
      </w:r>
      <w:r>
        <w:rPr>
          <w:rtl w:val="0"/>
          <w:lang w:val="en-US"/>
        </w:rPr>
        <w:t>“</w:t>
      </w:r>
      <w:r>
        <w:rPr>
          <w:rtl w:val="0"/>
          <w:lang w:val="zh-TW" w:eastAsia="zh-TW"/>
        </w:rPr>
        <w:t>对目前的工作不感兴趣</w:t>
      </w:r>
      <w:r>
        <w:rPr>
          <w:rtl w:val="0"/>
          <w:lang w:val="en-US"/>
        </w:rPr>
        <w:t>”</w:t>
      </w:r>
      <w:r>
        <w:rPr>
          <w:rtl w:val="0"/>
          <w:lang w:val="zh-TW" w:eastAsia="zh-TW"/>
        </w:rPr>
        <w:t>也各自占据</w:t>
      </w:r>
      <w:r>
        <w:rPr>
          <w:rtl w:val="0"/>
          <w:lang w:val="en-US"/>
        </w:rPr>
        <w:t>10%</w:t>
      </w:r>
      <w:r>
        <w:rPr>
          <w:rtl w:val="0"/>
          <w:lang w:val="zh-TW" w:eastAsia="zh-TW"/>
        </w:rPr>
        <w:t>以上的海归比例。相比</w:t>
      </w:r>
      <w:r>
        <w:rPr>
          <w:rtl w:val="0"/>
          <w:lang w:val="en-US"/>
        </w:rPr>
        <w:t>2017</w:t>
      </w:r>
      <w:r>
        <w:rPr>
          <w:rtl w:val="0"/>
          <w:lang w:val="zh-TW" w:eastAsia="zh-TW"/>
        </w:rPr>
        <w:t>年的调研结果，因薪酬水平产生工作变动的比例上升了</w:t>
      </w:r>
      <w:r>
        <w:rPr>
          <w:rtl w:val="0"/>
          <w:lang w:val="en-US"/>
        </w:rPr>
        <w:t>9</w:t>
      </w:r>
      <w:r>
        <w:rPr>
          <w:rtl w:val="0"/>
          <w:lang w:val="zh-TW" w:eastAsia="zh-TW"/>
        </w:rPr>
        <w:t>个百分点，显示出海归回国后的薪资水平与期待存在较大差距，提升其薪资待遇成为企事业单位提升海归人才就业满意度的重要方向。</w:t>
      </w:r>
    </w:p>
    <w:p>
      <w:pPr>
        <w:pStyle w:val="Normal.0"/>
        <w:keepNext w:val="1"/>
      </w:pPr>
      <w:r>
        <w:drawing>
          <wp:inline distT="0" distB="0" distL="0" distR="0">
            <wp:extent cx="5185345" cy="2826588"/>
            <wp:effectExtent l="0" t="0" r="0" b="0"/>
            <wp:docPr id="1073741867" name="officeArt object"/>
            <wp:cNvGraphicFramePr/>
            <a:graphic xmlns:a="http://schemas.openxmlformats.org/drawingml/2006/main">
              <a:graphicData uri="http://schemas.openxmlformats.org/drawingml/2006/chart">
                <c:chart xmlns:c="http://schemas.openxmlformats.org/drawingml/2006/chart" r:id="rId43"/>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40 </w:t>
      </w:r>
      <w:r>
        <w:rPr>
          <w:rFonts w:ascii="黑体" w:cs="黑体" w:hAnsi="黑体" w:eastAsia="黑体"/>
          <w:rtl w:val="0"/>
          <w:lang w:val="zh-TW" w:eastAsia="zh-TW"/>
        </w:rPr>
        <w:t>更换工作的主要原因</w:t>
      </w:r>
    </w:p>
    <w:p>
      <w:pPr>
        <w:pStyle w:val="heading 2"/>
      </w:pPr>
      <w:r>
        <w:rPr>
          <w:rtl w:val="0"/>
          <w:lang w:val="zh-TW" w:eastAsia="zh-TW"/>
        </w:rPr>
        <w:t>（四）政策需求：海归群体对于吸引留学生回国发展的政策了解程度不高；</w:t>
      </w:r>
      <w:r>
        <w:rPr>
          <w:rFonts w:ascii="Calibri" w:cs="Calibri" w:hAnsi="Calibri" w:eastAsia="Calibri"/>
          <w:rtl w:val="0"/>
          <w:lang w:val="en-US"/>
        </w:rPr>
        <w:t>“</w:t>
      </w:r>
      <w:r>
        <w:rPr>
          <w:rtl w:val="0"/>
          <w:lang w:val="zh-TW" w:eastAsia="zh-TW"/>
        </w:rPr>
        <w:t>提高人才薪酬福利待遇</w:t>
      </w:r>
      <w:r>
        <w:rPr>
          <w:rFonts w:ascii="Calibri" w:cs="Calibri" w:hAnsi="Calibri" w:eastAsia="Calibri"/>
          <w:rtl w:val="0"/>
          <w:lang w:val="en-US"/>
        </w:rPr>
        <w:t>”</w:t>
      </w:r>
      <w:r>
        <w:rPr>
          <w:rtl w:val="0"/>
          <w:lang w:val="zh-TW" w:eastAsia="zh-TW"/>
        </w:rPr>
        <w:t>和</w:t>
      </w:r>
      <w:r>
        <w:rPr>
          <w:rFonts w:ascii="Calibri" w:cs="Calibri" w:hAnsi="Calibri" w:eastAsia="Calibri"/>
          <w:rtl w:val="0"/>
          <w:lang w:val="en-US"/>
        </w:rPr>
        <w:t>“</w:t>
      </w:r>
      <w:r>
        <w:rPr>
          <w:rtl w:val="0"/>
          <w:lang w:val="zh-TW" w:eastAsia="zh-TW"/>
        </w:rPr>
        <w:t>完善海归人才就业机制</w:t>
      </w:r>
      <w:r>
        <w:rPr>
          <w:rFonts w:ascii="Calibri" w:cs="Calibri" w:hAnsi="Calibri" w:eastAsia="Calibri"/>
          <w:rtl w:val="0"/>
          <w:lang w:val="en-US"/>
        </w:rPr>
        <w:t>”</w:t>
      </w:r>
      <w:r>
        <w:rPr>
          <w:rtl w:val="0"/>
          <w:lang w:val="zh-TW" w:eastAsia="zh-TW"/>
        </w:rPr>
        <w:t>是海归群体最关注的政策方向。</w:t>
      </w:r>
    </w:p>
    <w:p>
      <w:pPr>
        <w:pStyle w:val="Normal.0"/>
        <w:ind w:firstLine="420"/>
      </w:pPr>
      <w:r>
        <w:rPr>
          <w:rtl w:val="0"/>
          <w:lang w:val="zh-TW" w:eastAsia="zh-TW"/>
        </w:rPr>
        <w:t>对当前吸引海归政策了解程度的调查数据显示，大部分海归（</w:t>
      </w:r>
      <w:r>
        <w:rPr>
          <w:rtl w:val="0"/>
          <w:lang w:val="en-US"/>
        </w:rPr>
        <w:t>63%</w:t>
      </w:r>
      <w:r>
        <w:rPr>
          <w:rtl w:val="0"/>
          <w:lang w:val="zh-TW" w:eastAsia="zh-TW"/>
        </w:rPr>
        <w:t>）表示</w:t>
      </w:r>
      <w:r>
        <w:rPr>
          <w:rtl w:val="0"/>
          <w:lang w:val="en-US"/>
        </w:rPr>
        <w:t>“</w:t>
      </w:r>
      <w:r>
        <w:rPr>
          <w:rtl w:val="0"/>
          <w:lang w:val="zh-TW" w:eastAsia="zh-TW"/>
        </w:rPr>
        <w:t>听说过，但不知详细内容</w:t>
      </w:r>
      <w:r>
        <w:rPr>
          <w:rtl w:val="0"/>
          <w:lang w:val="en-US"/>
        </w:rPr>
        <w:t>”</w:t>
      </w:r>
      <w:r>
        <w:rPr>
          <w:rtl w:val="0"/>
          <w:lang w:val="zh-TW" w:eastAsia="zh-TW"/>
        </w:rPr>
        <w:t>，</w:t>
      </w:r>
      <w:r>
        <w:rPr>
          <w:rtl w:val="0"/>
          <w:lang w:val="en-US"/>
        </w:rPr>
        <w:t>“</w:t>
      </w:r>
      <w:r>
        <w:rPr>
          <w:rtl w:val="0"/>
          <w:lang w:val="zh-TW" w:eastAsia="zh-TW"/>
        </w:rPr>
        <w:t>经常关注，知道内容</w:t>
      </w:r>
      <w:r>
        <w:rPr>
          <w:rtl w:val="0"/>
          <w:lang w:val="en-US"/>
        </w:rPr>
        <w:t>”</w:t>
      </w:r>
      <w:r>
        <w:rPr>
          <w:rtl w:val="0"/>
          <w:lang w:val="zh-TW" w:eastAsia="zh-TW"/>
        </w:rPr>
        <w:t>的海归仅占</w:t>
      </w:r>
      <w:r>
        <w:rPr>
          <w:rtl w:val="0"/>
          <w:lang w:val="en-US"/>
        </w:rPr>
        <w:t>20%</w:t>
      </w:r>
      <w:r>
        <w:rPr>
          <w:rtl w:val="0"/>
          <w:lang w:val="zh-TW" w:eastAsia="zh-TW"/>
        </w:rPr>
        <w:t>，另有</w:t>
      </w:r>
      <w:r>
        <w:rPr>
          <w:rtl w:val="0"/>
          <w:lang w:val="en-US"/>
        </w:rPr>
        <w:t>17%</w:t>
      </w:r>
      <w:r>
        <w:rPr>
          <w:rtl w:val="0"/>
          <w:lang w:val="zh-TW" w:eastAsia="zh-TW"/>
        </w:rPr>
        <w:t>的海归对这类政策</w:t>
      </w:r>
      <w:r>
        <w:rPr>
          <w:rtl w:val="0"/>
          <w:lang w:val="en-US"/>
        </w:rPr>
        <w:t>“</w:t>
      </w:r>
      <w:r>
        <w:rPr>
          <w:rtl w:val="0"/>
          <w:lang w:val="zh-TW" w:eastAsia="zh-TW"/>
        </w:rPr>
        <w:t>不清楚</w:t>
      </w:r>
      <w:r>
        <w:rPr>
          <w:rtl w:val="0"/>
          <w:lang w:val="en-US"/>
        </w:rPr>
        <w:t>”</w:t>
      </w:r>
      <w:r>
        <w:rPr>
          <w:rtl w:val="0"/>
          <w:lang w:val="zh-TW" w:eastAsia="zh-TW"/>
        </w:rPr>
        <w:t>。由此可见，政府及相关部门对海归吸引政策、相关配套优惠的宣传力度仍有待加强，需要开拓更多宣传渠道、提升政策在留学生群体中的了解程度，进而吸引更多留学生回国发展。</w:t>
      </w:r>
    </w:p>
    <w:p>
      <w:pPr>
        <w:pStyle w:val="Normal.0"/>
        <w:keepNext w:val="1"/>
      </w:pPr>
      <w:r>
        <w:drawing>
          <wp:inline distT="0" distB="0" distL="0" distR="0">
            <wp:extent cx="5185345" cy="2536643"/>
            <wp:effectExtent l="0" t="0" r="0" b="0"/>
            <wp:docPr id="1073741868" name="officeArt object"/>
            <wp:cNvGraphicFramePr/>
            <a:graphic xmlns:a="http://schemas.openxmlformats.org/drawingml/2006/main">
              <a:graphicData uri="http://schemas.openxmlformats.org/drawingml/2006/chart">
                <c:chart xmlns:c="http://schemas.openxmlformats.org/drawingml/2006/chart" r:id="rId44"/>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41 </w:t>
      </w:r>
      <w:r>
        <w:rPr>
          <w:rFonts w:ascii="黑体" w:cs="黑体" w:hAnsi="黑体" w:eastAsia="黑体"/>
          <w:rtl w:val="0"/>
          <w:lang w:val="zh-TW" w:eastAsia="zh-TW"/>
        </w:rPr>
        <w:t>海归群体对于吸引留学生回国发展政策的了解程度</w:t>
      </w:r>
    </w:p>
    <w:p>
      <w:pPr>
        <w:pStyle w:val="Normal.0"/>
        <w:ind w:firstLine="420"/>
      </w:pPr>
      <w:r>
        <w:rPr>
          <w:rtl w:val="0"/>
          <w:lang w:val="zh-TW" w:eastAsia="zh-TW"/>
        </w:rPr>
        <w:t>关于政府应重点完善哪些激励保障政策来吸引留学人员回国发展，</w:t>
      </w:r>
      <w:r>
        <w:rPr>
          <w:rtl w:val="0"/>
          <w:lang w:val="en-US"/>
        </w:rPr>
        <w:t>“</w:t>
      </w:r>
      <w:r>
        <w:rPr>
          <w:rtl w:val="0"/>
          <w:lang w:val="zh-TW" w:eastAsia="zh-TW"/>
        </w:rPr>
        <w:t>提高人才薪酬福利待遇</w:t>
      </w:r>
      <w:r>
        <w:rPr>
          <w:rtl w:val="0"/>
          <w:lang w:val="en-US"/>
        </w:rPr>
        <w:t>”</w:t>
      </w:r>
      <w:r>
        <w:rPr>
          <w:rtl w:val="0"/>
          <w:lang w:val="zh-TW" w:eastAsia="zh-TW"/>
        </w:rPr>
        <w:t>成为海归最关注的方向，比例高达</w:t>
      </w:r>
      <w:r>
        <w:rPr>
          <w:rtl w:val="0"/>
          <w:lang w:val="en-US"/>
        </w:rPr>
        <w:t>65%</w:t>
      </w:r>
      <w:r>
        <w:rPr>
          <w:rtl w:val="0"/>
          <w:lang w:val="zh-TW" w:eastAsia="zh-TW"/>
        </w:rPr>
        <w:t>。结合前面海归对于收入与预期的看法，薪酬的确成为影响人才持续、稳定发展的重要问题。此外，</w:t>
      </w:r>
      <w:r>
        <w:rPr>
          <w:rtl w:val="0"/>
          <w:lang w:val="en-US"/>
        </w:rPr>
        <w:t>“</w:t>
      </w:r>
      <w:r>
        <w:rPr>
          <w:rtl w:val="0"/>
          <w:lang w:val="zh-TW" w:eastAsia="zh-TW"/>
        </w:rPr>
        <w:t>完善海归人才就业机制</w:t>
      </w:r>
      <w:r>
        <w:rPr>
          <w:rtl w:val="0"/>
          <w:lang w:val="en-US"/>
        </w:rPr>
        <w:t>”</w:t>
      </w:r>
      <w:r>
        <w:rPr>
          <w:rtl w:val="0"/>
          <w:lang w:val="zh-TW" w:eastAsia="zh-TW"/>
        </w:rPr>
        <w:t>（</w:t>
      </w:r>
      <w:r>
        <w:rPr>
          <w:rtl w:val="0"/>
          <w:lang w:val="en-US"/>
        </w:rPr>
        <w:t>57%</w:t>
      </w:r>
      <w:r>
        <w:rPr>
          <w:rtl w:val="0"/>
          <w:lang w:val="zh-TW" w:eastAsia="zh-TW"/>
        </w:rPr>
        <w:t>）、</w:t>
      </w:r>
      <w:r>
        <w:rPr>
          <w:rtl w:val="0"/>
          <w:lang w:val="en-US"/>
        </w:rPr>
        <w:t>“</w:t>
      </w:r>
      <w:r>
        <w:rPr>
          <w:rtl w:val="0"/>
          <w:lang w:val="zh-TW" w:eastAsia="zh-TW"/>
        </w:rPr>
        <w:t>解决户籍住房问题</w:t>
      </w:r>
      <w:r>
        <w:rPr>
          <w:rtl w:val="0"/>
          <w:lang w:val="en-US"/>
        </w:rPr>
        <w:t>”</w:t>
      </w:r>
      <w:r>
        <w:rPr>
          <w:rtl w:val="0"/>
          <w:lang w:val="zh-TW" w:eastAsia="zh-TW"/>
        </w:rPr>
        <w:t>（</w:t>
      </w:r>
      <w:r>
        <w:rPr>
          <w:rtl w:val="0"/>
          <w:lang w:val="en-US"/>
        </w:rPr>
        <w:t>37%</w:t>
      </w:r>
      <w:r>
        <w:rPr>
          <w:rtl w:val="0"/>
          <w:lang w:val="zh-TW" w:eastAsia="zh-TW"/>
        </w:rPr>
        <w:t>）、</w:t>
      </w:r>
      <w:r>
        <w:rPr>
          <w:rtl w:val="0"/>
          <w:lang w:val="en-US"/>
        </w:rPr>
        <w:t>“</w:t>
      </w:r>
      <w:r>
        <w:rPr>
          <w:rtl w:val="0"/>
          <w:lang w:val="zh-TW" w:eastAsia="zh-TW"/>
        </w:rPr>
        <w:t>提供海归创新创业辅导</w:t>
      </w:r>
      <w:r>
        <w:rPr>
          <w:rtl w:val="0"/>
          <w:lang w:val="en-US"/>
        </w:rPr>
        <w:t>”</w:t>
      </w:r>
      <w:r>
        <w:rPr>
          <w:rtl w:val="0"/>
          <w:lang w:val="zh-TW" w:eastAsia="zh-TW"/>
        </w:rPr>
        <w:t>（</w:t>
      </w:r>
      <w:r>
        <w:rPr>
          <w:rtl w:val="0"/>
          <w:lang w:val="en-US"/>
        </w:rPr>
        <w:t>27%</w:t>
      </w:r>
      <w:r>
        <w:rPr>
          <w:rtl w:val="0"/>
          <w:lang w:val="zh-TW" w:eastAsia="zh-TW"/>
        </w:rPr>
        <w:t>）、</w:t>
      </w:r>
      <w:r>
        <w:rPr>
          <w:rtl w:val="0"/>
          <w:lang w:val="en-US"/>
        </w:rPr>
        <w:t>“</w:t>
      </w:r>
      <w:r>
        <w:rPr>
          <w:rtl w:val="0"/>
          <w:lang w:val="zh-TW" w:eastAsia="zh-TW"/>
        </w:rPr>
        <w:t>搭建青年海归交流平台</w:t>
      </w:r>
      <w:r>
        <w:rPr>
          <w:rtl w:val="0"/>
          <w:lang w:val="en-US"/>
        </w:rPr>
        <w:t>”</w:t>
      </w:r>
      <w:r>
        <w:rPr>
          <w:rtl w:val="0"/>
          <w:lang w:val="zh-TW" w:eastAsia="zh-TW"/>
        </w:rPr>
        <w:t>（</w:t>
      </w:r>
      <w:r>
        <w:rPr>
          <w:rtl w:val="0"/>
          <w:lang w:val="en-US"/>
        </w:rPr>
        <w:t>18%</w:t>
      </w:r>
      <w:r>
        <w:rPr>
          <w:rtl w:val="0"/>
          <w:lang w:val="zh-TW" w:eastAsia="zh-TW"/>
        </w:rPr>
        <w:t>）、</w:t>
      </w:r>
      <w:r>
        <w:rPr>
          <w:rtl w:val="0"/>
          <w:lang w:val="en-US"/>
        </w:rPr>
        <w:t>“</w:t>
      </w:r>
      <w:r>
        <w:rPr>
          <w:rtl w:val="0"/>
          <w:lang w:val="zh-TW" w:eastAsia="zh-TW"/>
        </w:rPr>
        <w:t>提供职业规划建议</w:t>
      </w:r>
      <w:r>
        <w:rPr>
          <w:rtl w:val="0"/>
          <w:lang w:val="en-US"/>
        </w:rPr>
        <w:t>”</w:t>
      </w:r>
      <w:r>
        <w:rPr>
          <w:rtl w:val="0"/>
          <w:lang w:val="zh-TW" w:eastAsia="zh-TW"/>
        </w:rPr>
        <w:t>（</w:t>
      </w:r>
      <w:r>
        <w:rPr>
          <w:rtl w:val="0"/>
          <w:lang w:val="en-US"/>
        </w:rPr>
        <w:t>14%</w:t>
      </w:r>
      <w:r>
        <w:rPr>
          <w:rtl w:val="0"/>
          <w:lang w:val="zh-TW" w:eastAsia="zh-TW"/>
        </w:rPr>
        <w:t>）和</w:t>
      </w:r>
      <w:r>
        <w:rPr>
          <w:rtl w:val="0"/>
          <w:lang w:val="en-US"/>
        </w:rPr>
        <w:t>“</w:t>
      </w:r>
      <w:r>
        <w:rPr>
          <w:rtl w:val="0"/>
          <w:lang w:val="zh-TW" w:eastAsia="zh-TW"/>
        </w:rPr>
        <w:t>进一步宣传国家对海归的优惠政策</w:t>
      </w:r>
      <w:r>
        <w:rPr>
          <w:rtl w:val="0"/>
          <w:lang w:val="en-US"/>
        </w:rPr>
        <w:t>”</w:t>
      </w:r>
      <w:r>
        <w:rPr>
          <w:rtl w:val="0"/>
          <w:lang w:val="zh-TW" w:eastAsia="zh-TW"/>
        </w:rPr>
        <w:t>（</w:t>
      </w:r>
      <w:r>
        <w:rPr>
          <w:rtl w:val="0"/>
          <w:lang w:val="en-US"/>
        </w:rPr>
        <w:t>12%</w:t>
      </w:r>
      <w:r>
        <w:rPr>
          <w:rtl w:val="0"/>
          <w:lang w:val="zh-TW" w:eastAsia="zh-TW"/>
        </w:rPr>
        <w:t>）等也成为海归希望完善的方面。</w:t>
      </w:r>
    </w:p>
    <w:p>
      <w:pPr>
        <w:pStyle w:val="Normal.0"/>
        <w:keepNext w:val="1"/>
      </w:pPr>
      <w:r>
        <w:drawing>
          <wp:inline distT="0" distB="0" distL="0" distR="0">
            <wp:extent cx="5197770" cy="3431760"/>
            <wp:effectExtent l="0" t="0" r="0" b="0"/>
            <wp:docPr id="1073741869" name="officeArt object"/>
            <wp:cNvGraphicFramePr/>
            <a:graphic xmlns:a="http://schemas.openxmlformats.org/drawingml/2006/main">
              <a:graphicData uri="http://schemas.openxmlformats.org/drawingml/2006/chart">
                <c:chart xmlns:c="http://schemas.openxmlformats.org/drawingml/2006/chart" r:id="rId45"/>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42 </w:t>
      </w:r>
      <w:r>
        <w:rPr>
          <w:rFonts w:ascii="黑体" w:cs="黑体" w:hAnsi="黑体" w:eastAsia="黑体"/>
          <w:rtl w:val="0"/>
          <w:lang w:val="zh-TW" w:eastAsia="zh-TW"/>
        </w:rPr>
        <w:t>对于吸引海归回国发展的政策建议</w:t>
      </w:r>
    </w:p>
    <w:p>
      <w:pPr>
        <w:pStyle w:val="heading 1"/>
        <w:rPr>
          <w:lang w:val="zh-TW" w:eastAsia="zh-TW"/>
        </w:rPr>
      </w:pPr>
      <w:r>
        <w:rPr>
          <w:rFonts w:ascii="黑体" w:cs="黑体" w:hAnsi="黑体" w:eastAsia="黑体"/>
          <w:rtl w:val="0"/>
          <w:lang w:val="zh-TW" w:eastAsia="zh-TW"/>
        </w:rPr>
        <w:t>海归创业</w:t>
      </w:r>
    </w:p>
    <w:p>
      <w:pPr>
        <w:pStyle w:val="heading 2"/>
      </w:pPr>
      <w:r>
        <w:rPr>
          <w:rtl w:val="0"/>
          <w:lang w:val="zh-TW" w:eastAsia="zh-TW"/>
        </w:rPr>
        <w:t>（一）创业情况：</w:t>
      </w:r>
      <w:r>
        <w:rPr>
          <w:rFonts w:ascii="宋体" w:cs="宋体" w:hAnsi="宋体" w:eastAsia="宋体"/>
          <w:rtl w:val="0"/>
          <w:lang w:val="zh-TW" w:eastAsia="zh-TW"/>
        </w:rPr>
        <w:t>近半数海归的创业时间集中在</w:t>
      </w:r>
      <w:r>
        <w:rPr>
          <w:rFonts w:ascii="宋体" w:cs="宋体" w:hAnsi="宋体" w:eastAsia="宋体"/>
          <w:rtl w:val="0"/>
          <w:lang w:val="en-US"/>
        </w:rPr>
        <w:t>2017</w:t>
      </w:r>
      <w:r>
        <w:rPr>
          <w:rFonts w:ascii="宋体" w:cs="宋体" w:hAnsi="宋体" w:eastAsia="宋体"/>
          <w:rtl w:val="0"/>
          <w:lang w:val="zh-TW" w:eastAsia="zh-TW"/>
        </w:rPr>
        <w:t>年；信息传输、软件和信息技术服务业、批发和零售业、教育是海归创业行业的前三选择；创业的主要资金来源于个人存款；超过半数企业尚未实现盈利。</w:t>
      </w:r>
    </w:p>
    <w:p>
      <w:pPr>
        <w:pStyle w:val="Normal.0"/>
        <w:ind w:firstLine="420"/>
      </w:pPr>
      <w:r>
        <w:rPr>
          <w:rtl w:val="0"/>
          <w:lang w:val="en-US"/>
        </w:rPr>
        <w:t>48%</w:t>
      </w:r>
      <w:r>
        <w:rPr>
          <w:rtl w:val="0"/>
          <w:lang w:val="zh-TW" w:eastAsia="zh-TW"/>
        </w:rPr>
        <w:t>海归的创业时间集中在</w:t>
      </w:r>
      <w:r>
        <w:rPr>
          <w:rtl w:val="0"/>
          <w:lang w:val="en-US"/>
        </w:rPr>
        <w:t>2017</w:t>
      </w:r>
      <w:r>
        <w:rPr>
          <w:rtl w:val="0"/>
          <w:lang w:val="zh-TW" w:eastAsia="zh-TW"/>
        </w:rPr>
        <w:t>年，</w:t>
      </w:r>
      <w:r>
        <w:rPr>
          <w:rtl w:val="0"/>
          <w:lang w:val="en-US"/>
        </w:rPr>
        <w:t>2016</w:t>
      </w:r>
      <w:r>
        <w:rPr>
          <w:rtl w:val="0"/>
          <w:lang w:val="zh-TW" w:eastAsia="zh-TW"/>
        </w:rPr>
        <w:t>年创业海归占比为</w:t>
      </w:r>
      <w:r>
        <w:rPr>
          <w:rtl w:val="0"/>
          <w:lang w:val="en-US"/>
        </w:rPr>
        <w:t>18%</w:t>
      </w:r>
      <w:r>
        <w:rPr>
          <w:rtl w:val="0"/>
          <w:lang w:val="zh-TW" w:eastAsia="zh-TW"/>
        </w:rPr>
        <w:t>，</w:t>
      </w:r>
      <w:r>
        <w:rPr>
          <w:rtl w:val="0"/>
          <w:lang w:val="en-US"/>
        </w:rPr>
        <w:t>2015</w:t>
      </w:r>
      <w:r>
        <w:rPr>
          <w:rtl w:val="0"/>
          <w:lang w:val="zh-TW" w:eastAsia="zh-TW"/>
        </w:rPr>
        <w:t>年为</w:t>
      </w:r>
      <w:r>
        <w:rPr>
          <w:rtl w:val="0"/>
          <w:lang w:val="en-US"/>
        </w:rPr>
        <w:t>9%</w:t>
      </w:r>
      <w:r>
        <w:rPr>
          <w:rtl w:val="0"/>
          <w:lang w:val="zh-TW" w:eastAsia="zh-TW"/>
        </w:rPr>
        <w:t>，</w:t>
      </w:r>
      <w:r>
        <w:rPr>
          <w:rtl w:val="0"/>
          <w:lang w:val="en-US"/>
        </w:rPr>
        <w:t>2015</w:t>
      </w:r>
      <w:r>
        <w:rPr>
          <w:rtl w:val="0"/>
          <w:lang w:val="zh-TW" w:eastAsia="zh-TW"/>
        </w:rPr>
        <w:t>年以前创业的比例为</w:t>
      </w:r>
      <w:r>
        <w:rPr>
          <w:rtl w:val="0"/>
          <w:lang w:val="en-US"/>
        </w:rPr>
        <w:t>25%</w:t>
      </w:r>
      <w:r>
        <w:rPr>
          <w:rtl w:val="0"/>
          <w:lang w:val="zh-TW" w:eastAsia="zh-TW"/>
        </w:rPr>
        <w:t>。</w:t>
      </w:r>
    </w:p>
    <w:p>
      <w:pPr>
        <w:pStyle w:val="Normal.0"/>
        <w:keepNext w:val="1"/>
      </w:pPr>
      <w:r>
        <w:drawing>
          <wp:inline distT="0" distB="0" distL="0" distR="0">
            <wp:extent cx="2432168" cy="2432168"/>
            <wp:effectExtent l="0" t="0" r="0" b="0"/>
            <wp:docPr id="1073741870" name="officeArt object"/>
            <wp:cNvGraphicFramePr/>
            <a:graphic xmlns:a="http://schemas.openxmlformats.org/drawingml/2006/main">
              <a:graphicData uri="http://schemas.openxmlformats.org/drawingml/2006/chart">
                <c:chart xmlns:c="http://schemas.openxmlformats.org/drawingml/2006/chart" r:id="rId46"/>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43 </w:t>
      </w:r>
      <w:r>
        <w:rPr>
          <w:rFonts w:ascii="黑体" w:cs="黑体" w:hAnsi="黑体" w:eastAsia="黑体"/>
          <w:rtl w:val="0"/>
          <w:lang w:val="zh-TW" w:eastAsia="zh-TW"/>
        </w:rPr>
        <w:t>企业创立时间</w:t>
      </w:r>
    </w:p>
    <w:p>
      <w:pPr>
        <w:pStyle w:val="Normal.0"/>
        <w:ind w:firstLine="420"/>
      </w:pPr>
      <w:r>
        <w:rPr>
          <w:rtl w:val="0"/>
          <w:lang w:val="zh-TW" w:eastAsia="zh-TW"/>
        </w:rPr>
        <w:t>海归创业行业选择排名前三位的行业分别为：信息传输、软件和信息技术服务业（</w:t>
      </w:r>
      <w:r>
        <w:rPr>
          <w:rtl w:val="0"/>
          <w:lang w:val="en-US"/>
        </w:rPr>
        <w:t>17%</w:t>
      </w:r>
      <w:r>
        <w:rPr>
          <w:rtl w:val="0"/>
          <w:lang w:val="zh-TW" w:eastAsia="zh-TW"/>
        </w:rPr>
        <w:t>）、批发和零售业（</w:t>
      </w:r>
      <w:r>
        <w:rPr>
          <w:rtl w:val="0"/>
          <w:lang w:val="en-US"/>
        </w:rPr>
        <w:t>15%</w:t>
      </w:r>
      <w:r>
        <w:rPr>
          <w:rtl w:val="0"/>
          <w:lang w:val="zh-TW" w:eastAsia="zh-TW"/>
        </w:rPr>
        <w:t>）、教育（</w:t>
      </w:r>
      <w:r>
        <w:rPr>
          <w:rtl w:val="0"/>
          <w:lang w:val="en-US"/>
        </w:rPr>
        <w:t>11%</w:t>
      </w:r>
      <w:r>
        <w:rPr>
          <w:rtl w:val="0"/>
          <w:lang w:val="zh-TW" w:eastAsia="zh-TW"/>
        </w:rPr>
        <w:t>）。前两名以男性创业者居多，而在教育行业，女性创业者远高于男性，为</w:t>
      </w:r>
      <w:r>
        <w:rPr>
          <w:rtl w:val="0"/>
          <w:lang w:val="en-US"/>
        </w:rPr>
        <w:t>14%</w:t>
      </w:r>
      <w:r>
        <w:rPr>
          <w:rtl w:val="0"/>
          <w:lang w:val="zh-TW" w:eastAsia="zh-TW"/>
        </w:rPr>
        <w:t>；出现女性创业者比例高于男性的创业行业还有</w:t>
      </w:r>
      <w:r>
        <w:rPr>
          <w:rtl w:val="0"/>
          <w:lang w:val="en-US"/>
        </w:rPr>
        <w:t>“</w:t>
      </w:r>
      <w:r>
        <w:rPr>
          <w:rtl w:val="0"/>
          <w:lang w:val="zh-TW" w:eastAsia="zh-TW"/>
        </w:rPr>
        <w:t>住宿和餐饮业</w:t>
      </w:r>
      <w:r>
        <w:rPr>
          <w:rtl w:val="0"/>
          <w:lang w:val="en-US"/>
        </w:rPr>
        <w:t>”</w:t>
      </w:r>
      <w:r>
        <w:rPr>
          <w:rtl w:val="0"/>
          <w:lang w:val="zh-TW" w:eastAsia="zh-TW"/>
        </w:rPr>
        <w:t>等。</w:t>
      </w:r>
    </w:p>
    <w:p>
      <w:pPr>
        <w:pStyle w:val="Normal.0"/>
        <w:keepNext w:val="1"/>
      </w:pPr>
      <w:r>
        <w:drawing>
          <wp:inline distT="0" distB="0" distL="0" distR="0">
            <wp:extent cx="5481924" cy="2826588"/>
            <wp:effectExtent l="0" t="0" r="0" b="0"/>
            <wp:docPr id="1073741871" name="officeArt object"/>
            <wp:cNvGraphicFramePr/>
            <a:graphic xmlns:a="http://schemas.openxmlformats.org/drawingml/2006/main">
              <a:graphicData uri="http://schemas.openxmlformats.org/drawingml/2006/chart">
                <c:chart xmlns:c="http://schemas.openxmlformats.org/drawingml/2006/chart" r:id="rId47"/>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44 </w:t>
      </w:r>
      <w:r>
        <w:rPr>
          <w:rFonts w:ascii="黑体" w:cs="黑体" w:hAnsi="黑体" w:eastAsia="黑体"/>
          <w:rtl w:val="0"/>
          <w:lang w:val="zh-TW" w:eastAsia="zh-TW"/>
        </w:rPr>
        <w:t>企业所属行业</w:t>
      </w:r>
    </w:p>
    <w:p>
      <w:pPr>
        <w:pStyle w:val="Normal.0"/>
        <w:ind w:firstLine="420"/>
      </w:pPr>
      <w:r>
        <w:rPr>
          <w:rtl w:val="0"/>
          <w:lang w:val="zh-TW" w:eastAsia="zh-TW"/>
        </w:rPr>
        <w:t>进一步分析海归创业者选择该行业创业的原因，</w:t>
      </w:r>
      <w:r>
        <w:rPr>
          <w:rtl w:val="0"/>
          <w:lang w:val="en-US"/>
        </w:rPr>
        <w:t>30%</w:t>
      </w:r>
      <w:r>
        <w:rPr>
          <w:rtl w:val="0"/>
          <w:lang w:val="zh-TW" w:eastAsia="zh-TW"/>
        </w:rPr>
        <w:t>的海归是因为</w:t>
      </w:r>
      <w:r>
        <w:rPr>
          <w:rtl w:val="0"/>
          <w:lang w:val="en-US"/>
        </w:rPr>
        <w:t>“</w:t>
      </w:r>
      <w:r>
        <w:rPr>
          <w:rtl w:val="0"/>
          <w:lang w:val="zh-TW" w:eastAsia="zh-TW"/>
        </w:rPr>
        <w:t>留学专业与创业行业紧密相关</w:t>
      </w:r>
      <w:r>
        <w:rPr>
          <w:rtl w:val="0"/>
          <w:lang w:val="en-US"/>
        </w:rPr>
        <w:t>”</w:t>
      </w:r>
      <w:r>
        <w:rPr>
          <w:rtl w:val="0"/>
          <w:lang w:val="zh-TW" w:eastAsia="zh-TW"/>
        </w:rPr>
        <w:t>，其次</w:t>
      </w:r>
      <w:r>
        <w:rPr>
          <w:rtl w:val="0"/>
          <w:lang w:val="en-US"/>
        </w:rPr>
        <w:t>24%</w:t>
      </w:r>
      <w:r>
        <w:rPr>
          <w:rtl w:val="0"/>
          <w:lang w:val="zh-TW" w:eastAsia="zh-TW"/>
        </w:rPr>
        <w:t>的海归选择了</w:t>
      </w:r>
      <w:r>
        <w:rPr>
          <w:rtl w:val="0"/>
          <w:lang w:val="en-US"/>
        </w:rPr>
        <w:t>“</w:t>
      </w:r>
      <w:r>
        <w:rPr>
          <w:rtl w:val="0"/>
          <w:lang w:val="zh-TW" w:eastAsia="zh-TW"/>
        </w:rPr>
        <w:t>主要合伙人的创业理念</w:t>
      </w:r>
      <w:r>
        <w:rPr>
          <w:rtl w:val="0"/>
          <w:lang w:val="en-US"/>
        </w:rPr>
        <w:t>”</w:t>
      </w:r>
      <w:r>
        <w:rPr>
          <w:rtl w:val="0"/>
          <w:lang w:val="zh-TW" w:eastAsia="zh-TW"/>
        </w:rPr>
        <w:t>，再次为</w:t>
      </w:r>
      <w:r>
        <w:rPr>
          <w:rtl w:val="0"/>
          <w:lang w:val="en-US"/>
        </w:rPr>
        <w:t>“</w:t>
      </w:r>
      <w:r>
        <w:rPr>
          <w:rtl w:val="0"/>
          <w:lang w:val="zh-TW" w:eastAsia="zh-TW"/>
        </w:rPr>
        <w:t>该行业是创业热门行业</w:t>
      </w:r>
      <w:r>
        <w:rPr>
          <w:rtl w:val="0"/>
          <w:lang w:val="en-US"/>
        </w:rPr>
        <w:t>”</w:t>
      </w:r>
      <w:r>
        <w:rPr>
          <w:rtl w:val="0"/>
          <w:lang w:val="zh-TW" w:eastAsia="zh-TW"/>
        </w:rPr>
        <w:t>，占比为</w:t>
      </w:r>
      <w:r>
        <w:rPr>
          <w:rtl w:val="0"/>
          <w:lang w:val="en-US"/>
        </w:rPr>
        <w:t>17%</w:t>
      </w:r>
      <w:r>
        <w:rPr>
          <w:rtl w:val="0"/>
          <w:lang w:val="zh-TW" w:eastAsia="zh-TW"/>
        </w:rPr>
        <w:t>。因</w:t>
      </w:r>
      <w:r>
        <w:rPr>
          <w:rtl w:val="0"/>
          <w:lang w:val="en-US"/>
        </w:rPr>
        <w:t>“</w:t>
      </w:r>
      <w:r>
        <w:rPr>
          <w:rtl w:val="0"/>
          <w:lang w:val="zh-TW" w:eastAsia="zh-TW"/>
        </w:rPr>
        <w:t>家庭背景</w:t>
      </w:r>
      <w:r>
        <w:rPr>
          <w:rtl w:val="0"/>
          <w:lang w:val="en-US"/>
        </w:rPr>
        <w:t>”</w:t>
      </w:r>
      <w:r>
        <w:rPr>
          <w:rtl w:val="0"/>
          <w:lang w:val="zh-TW" w:eastAsia="zh-TW"/>
        </w:rPr>
        <w:t>而选择该行业创业的比例为</w:t>
      </w:r>
      <w:r>
        <w:rPr>
          <w:rtl w:val="0"/>
          <w:lang w:val="en-US"/>
        </w:rPr>
        <w:t>11%</w:t>
      </w:r>
      <w:r>
        <w:rPr>
          <w:rtl w:val="0"/>
          <w:lang w:val="zh-TW" w:eastAsia="zh-TW"/>
        </w:rPr>
        <w:t>，因</w:t>
      </w:r>
      <w:r>
        <w:rPr>
          <w:rtl w:val="0"/>
          <w:lang w:val="en-US"/>
        </w:rPr>
        <w:t>“</w:t>
      </w:r>
      <w:r>
        <w:rPr>
          <w:rtl w:val="0"/>
          <w:lang w:val="zh-TW" w:eastAsia="zh-TW"/>
        </w:rPr>
        <w:t>相关技术专利、国家或地方发展规划相匹配</w:t>
      </w:r>
      <w:r>
        <w:rPr>
          <w:rtl w:val="0"/>
          <w:lang w:val="en-US"/>
        </w:rPr>
        <w:t>”“</w:t>
      </w:r>
      <w:r>
        <w:rPr>
          <w:rtl w:val="0"/>
          <w:lang w:val="zh-TW" w:eastAsia="zh-TW"/>
        </w:rPr>
        <w:t>个人爱好</w:t>
      </w:r>
      <w:r>
        <w:rPr>
          <w:rtl w:val="0"/>
          <w:lang w:val="en-US"/>
        </w:rPr>
        <w:t>”</w:t>
      </w:r>
      <w:r>
        <w:rPr>
          <w:rtl w:val="0"/>
          <w:lang w:val="zh-TW" w:eastAsia="zh-TW"/>
        </w:rPr>
        <w:t>因素选择相关行业创业的比例均为</w:t>
      </w:r>
      <w:r>
        <w:rPr>
          <w:rtl w:val="0"/>
          <w:lang w:val="en-US"/>
        </w:rPr>
        <w:t>6%</w:t>
      </w:r>
      <w:r>
        <w:rPr>
          <w:rtl w:val="0"/>
          <w:lang w:val="zh-TW" w:eastAsia="zh-TW"/>
        </w:rPr>
        <w:t>。其中，女性海归创业者相对男性来说，关注留学专业与创业行业相关性、创业热门行业和家庭背景的比例更高。</w:t>
      </w:r>
    </w:p>
    <w:p>
      <w:pPr>
        <w:pStyle w:val="Normal.0"/>
        <w:keepNext w:val="1"/>
      </w:pPr>
      <w:r>
        <w:drawing>
          <wp:inline distT="0" distB="0" distL="0" distR="0">
            <wp:extent cx="5221994" cy="2826588"/>
            <wp:effectExtent l="0" t="0" r="0" b="0"/>
            <wp:docPr id="1073741872" name="officeArt object"/>
            <wp:cNvGraphicFramePr/>
            <a:graphic xmlns:a="http://schemas.openxmlformats.org/drawingml/2006/main">
              <a:graphicData uri="http://schemas.openxmlformats.org/drawingml/2006/chart">
                <c:chart xmlns:c="http://schemas.openxmlformats.org/drawingml/2006/chart" r:id="rId48"/>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45 </w:t>
      </w:r>
      <w:r>
        <w:rPr>
          <w:rFonts w:ascii="黑体" w:cs="黑体" w:hAnsi="黑体" w:eastAsia="黑体"/>
          <w:rtl w:val="0"/>
          <w:lang w:val="zh-TW" w:eastAsia="zh-TW"/>
        </w:rPr>
        <w:t>选择该行业创业的原因</w:t>
      </w:r>
    </w:p>
    <w:p>
      <w:pPr>
        <w:pStyle w:val="Normal.0"/>
        <w:ind w:firstLine="420"/>
      </w:pPr>
      <w:r>
        <w:rPr>
          <w:rtl w:val="0"/>
          <w:lang w:val="zh-TW" w:eastAsia="zh-TW"/>
        </w:rPr>
        <w:t>海归创业的主要资金来源为</w:t>
      </w:r>
      <w:r>
        <w:rPr>
          <w:rtl w:val="0"/>
          <w:lang w:val="en-US"/>
        </w:rPr>
        <w:t>“</w:t>
      </w:r>
      <w:r>
        <w:rPr>
          <w:rtl w:val="0"/>
          <w:lang w:val="zh-TW" w:eastAsia="zh-TW"/>
        </w:rPr>
        <w:t>个人存款</w:t>
      </w:r>
      <w:r>
        <w:rPr>
          <w:rtl w:val="0"/>
          <w:lang w:val="en-US"/>
        </w:rPr>
        <w:t>”</w:t>
      </w:r>
      <w:r>
        <w:rPr>
          <w:rtl w:val="0"/>
          <w:lang w:val="zh-TW" w:eastAsia="zh-TW"/>
        </w:rPr>
        <w:t>和</w:t>
      </w:r>
      <w:r>
        <w:rPr>
          <w:rtl w:val="0"/>
          <w:lang w:val="en-US"/>
        </w:rPr>
        <w:t>“</w:t>
      </w:r>
      <w:r>
        <w:rPr>
          <w:rtl w:val="0"/>
          <w:lang w:val="zh-TW" w:eastAsia="zh-TW"/>
        </w:rPr>
        <w:t>朋友亲戚借款或赠款</w:t>
      </w:r>
      <w:r>
        <w:rPr>
          <w:rtl w:val="0"/>
          <w:lang w:val="en-US"/>
        </w:rPr>
        <w:t>”</w:t>
      </w:r>
      <w:r>
        <w:rPr>
          <w:rtl w:val="0"/>
          <w:lang w:val="zh-TW" w:eastAsia="zh-TW"/>
        </w:rPr>
        <w:t>，占比分别为</w:t>
      </w:r>
      <w:r>
        <w:rPr>
          <w:rtl w:val="0"/>
          <w:lang w:val="en-US"/>
        </w:rPr>
        <w:t>72%</w:t>
      </w:r>
      <w:r>
        <w:rPr>
          <w:rtl w:val="0"/>
          <w:lang w:val="zh-TW" w:eastAsia="zh-TW"/>
        </w:rPr>
        <w:t>和</w:t>
      </w:r>
      <w:r>
        <w:rPr>
          <w:rtl w:val="0"/>
          <w:lang w:val="en-US"/>
        </w:rPr>
        <w:t>31%</w:t>
      </w:r>
      <w:r>
        <w:rPr>
          <w:rtl w:val="0"/>
          <w:lang w:val="zh-TW" w:eastAsia="zh-TW"/>
        </w:rPr>
        <w:t>，来源于国内、国外企业入股的比例均为</w:t>
      </w:r>
      <w:r>
        <w:rPr>
          <w:rtl w:val="0"/>
          <w:lang w:val="en-US"/>
        </w:rPr>
        <w:t>10%</w:t>
      </w:r>
      <w:r>
        <w:rPr>
          <w:rtl w:val="0"/>
          <w:lang w:val="zh-TW" w:eastAsia="zh-TW"/>
        </w:rPr>
        <w:t>，国内风险投资来源占比</w:t>
      </w:r>
      <w:r>
        <w:rPr>
          <w:rtl w:val="0"/>
          <w:lang w:val="en-US"/>
        </w:rPr>
        <w:t>7%</w:t>
      </w:r>
      <w:r>
        <w:rPr>
          <w:rtl w:val="0"/>
          <w:lang w:val="zh-TW" w:eastAsia="zh-TW"/>
        </w:rPr>
        <w:t>，银行贷款比例为</w:t>
      </w:r>
      <w:r>
        <w:rPr>
          <w:rtl w:val="0"/>
          <w:lang w:val="en-US"/>
        </w:rPr>
        <w:t>6%</w:t>
      </w:r>
      <w:r>
        <w:rPr>
          <w:rtl w:val="0"/>
          <w:lang w:val="zh-TW" w:eastAsia="zh-TW"/>
        </w:rPr>
        <w:t>，国外风险投资占比为</w:t>
      </w:r>
      <w:r>
        <w:rPr>
          <w:rtl w:val="0"/>
          <w:lang w:val="en-US"/>
        </w:rPr>
        <w:t>4%</w:t>
      </w:r>
      <w:r>
        <w:rPr>
          <w:rtl w:val="0"/>
          <w:lang w:val="zh-TW" w:eastAsia="zh-TW"/>
        </w:rPr>
        <w:t>。相比</w:t>
      </w:r>
      <w:r>
        <w:rPr>
          <w:rtl w:val="0"/>
          <w:lang w:val="en-US"/>
        </w:rPr>
        <w:t>2017</w:t>
      </w:r>
      <w:r>
        <w:rPr>
          <w:rtl w:val="0"/>
          <w:lang w:val="zh-TW" w:eastAsia="zh-TW"/>
        </w:rPr>
        <w:t>年创业资金来源于银行贷款占比为</w:t>
      </w:r>
      <w:r>
        <w:rPr>
          <w:rtl w:val="0"/>
          <w:lang w:val="en-US"/>
        </w:rPr>
        <w:t>18%</w:t>
      </w:r>
      <w:r>
        <w:rPr>
          <w:rtl w:val="0"/>
          <w:lang w:val="zh-TW" w:eastAsia="zh-TW"/>
        </w:rPr>
        <w:t>，</w:t>
      </w:r>
      <w:r>
        <w:rPr>
          <w:rtl w:val="0"/>
          <w:lang w:val="en-US"/>
        </w:rPr>
        <w:t>2018</w:t>
      </w:r>
      <w:r>
        <w:rPr>
          <w:rtl w:val="0"/>
          <w:lang w:val="zh-TW" w:eastAsia="zh-TW"/>
        </w:rPr>
        <w:t>年数据下降了</w:t>
      </w:r>
      <w:r>
        <w:rPr>
          <w:rtl w:val="0"/>
          <w:lang w:val="en-US"/>
        </w:rPr>
        <w:t>12</w:t>
      </w:r>
      <w:r>
        <w:rPr>
          <w:rtl w:val="0"/>
          <w:lang w:val="zh-TW" w:eastAsia="zh-TW"/>
        </w:rPr>
        <w:t>个百分点。女性创业者对于个人存款和朋友亲戚借款或赠款的依赖度较高，男性创业者则在吸引投资方面有更多的表现。</w:t>
      </w:r>
    </w:p>
    <w:p>
      <w:pPr>
        <w:pStyle w:val="Normal.0"/>
        <w:keepNext w:val="1"/>
      </w:pPr>
      <w:r>
        <w:drawing>
          <wp:inline distT="0" distB="0" distL="0" distR="0">
            <wp:extent cx="5185345" cy="2826588"/>
            <wp:effectExtent l="0" t="0" r="0" b="0"/>
            <wp:docPr id="1073741873" name="officeArt object"/>
            <wp:cNvGraphicFramePr/>
            <a:graphic xmlns:a="http://schemas.openxmlformats.org/drawingml/2006/main">
              <a:graphicData uri="http://schemas.openxmlformats.org/drawingml/2006/chart">
                <c:chart xmlns:c="http://schemas.openxmlformats.org/drawingml/2006/chart" r:id="rId49"/>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46 </w:t>
      </w:r>
      <w:r>
        <w:rPr>
          <w:rFonts w:ascii="黑体" w:cs="黑体" w:hAnsi="黑体" w:eastAsia="黑体"/>
          <w:rtl w:val="0"/>
          <w:lang w:val="zh-TW" w:eastAsia="zh-TW"/>
        </w:rPr>
        <w:t>创业的主要资金来源</w:t>
      </w:r>
    </w:p>
    <w:p>
      <w:pPr>
        <w:pStyle w:val="Normal.0"/>
        <w:ind w:firstLine="420"/>
      </w:pPr>
      <w:r>
        <w:rPr>
          <w:rtl w:val="0"/>
          <w:lang w:val="zh-TW" w:eastAsia="zh-TW"/>
        </w:rPr>
        <w:t>海归创业企业在当下尚未开始盈利的比例为</w:t>
      </w:r>
      <w:r>
        <w:rPr>
          <w:rtl w:val="0"/>
          <w:lang w:val="en-US"/>
        </w:rPr>
        <w:t>54%</w:t>
      </w:r>
      <w:r>
        <w:rPr>
          <w:rtl w:val="0"/>
          <w:lang w:val="zh-TW" w:eastAsia="zh-TW"/>
        </w:rPr>
        <w:t>，且女性比例明显高于男性。</w:t>
      </w:r>
      <w:r>
        <w:rPr>
          <w:rtl w:val="0"/>
          <w:lang w:val="en-US"/>
        </w:rPr>
        <w:t>1-3</w:t>
      </w:r>
      <w:r>
        <w:rPr>
          <w:rtl w:val="0"/>
          <w:lang w:val="zh-TW" w:eastAsia="zh-TW"/>
        </w:rPr>
        <w:t>年开始盈利的企业比例为</w:t>
      </w:r>
      <w:r>
        <w:rPr>
          <w:rtl w:val="0"/>
          <w:lang w:val="en-US"/>
        </w:rPr>
        <w:t>40%</w:t>
      </w:r>
      <w:r>
        <w:rPr>
          <w:rtl w:val="0"/>
          <w:lang w:val="zh-TW" w:eastAsia="zh-TW"/>
        </w:rPr>
        <w:t>，且男性比例高于女性。</w:t>
      </w:r>
      <w:r>
        <w:rPr>
          <w:rtl w:val="0"/>
          <w:lang w:val="en-US"/>
        </w:rPr>
        <w:t>4-6</w:t>
      </w:r>
      <w:r>
        <w:rPr>
          <w:rtl w:val="0"/>
          <w:lang w:val="zh-TW" w:eastAsia="zh-TW"/>
        </w:rPr>
        <w:t>年开始盈利占比</w:t>
      </w:r>
      <w:r>
        <w:rPr>
          <w:rtl w:val="0"/>
          <w:lang w:val="en-US"/>
        </w:rPr>
        <w:t>6%</w:t>
      </w:r>
      <w:r>
        <w:rPr>
          <w:rtl w:val="0"/>
          <w:lang w:val="zh-TW" w:eastAsia="zh-TW"/>
        </w:rPr>
        <w:t>，</w:t>
      </w:r>
      <w:r>
        <w:rPr>
          <w:rtl w:val="0"/>
          <w:lang w:val="en-US"/>
        </w:rPr>
        <w:t>10</w:t>
      </w:r>
      <w:r>
        <w:rPr>
          <w:rtl w:val="0"/>
          <w:lang w:val="zh-TW" w:eastAsia="zh-TW"/>
        </w:rPr>
        <w:t>年以上才开始盈利的比例为</w:t>
      </w:r>
      <w:r>
        <w:rPr>
          <w:rtl w:val="0"/>
          <w:lang w:val="en-US"/>
        </w:rPr>
        <w:t>1%</w:t>
      </w:r>
      <w:r>
        <w:rPr>
          <w:rtl w:val="0"/>
          <w:lang w:val="zh-TW" w:eastAsia="zh-TW"/>
        </w:rPr>
        <w:t>。</w:t>
      </w:r>
    </w:p>
    <w:p>
      <w:pPr>
        <w:pStyle w:val="Normal.0"/>
        <w:keepNext w:val="1"/>
      </w:pPr>
      <w:r>
        <w:drawing>
          <wp:inline distT="0" distB="0" distL="0" distR="0">
            <wp:extent cx="5185345" cy="2826588"/>
            <wp:effectExtent l="0" t="0" r="0" b="0"/>
            <wp:docPr id="1073741874" name="officeArt object"/>
            <wp:cNvGraphicFramePr/>
            <a:graphic xmlns:a="http://schemas.openxmlformats.org/drawingml/2006/main">
              <a:graphicData uri="http://schemas.openxmlformats.org/drawingml/2006/chart">
                <c:chart xmlns:c="http://schemas.openxmlformats.org/drawingml/2006/chart" r:id="rId50"/>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47 </w:t>
      </w:r>
      <w:r>
        <w:rPr>
          <w:rFonts w:ascii="黑体" w:cs="黑体" w:hAnsi="黑体" w:eastAsia="黑体"/>
          <w:rtl w:val="0"/>
          <w:lang w:val="zh-TW" w:eastAsia="zh-TW"/>
        </w:rPr>
        <w:t>企业的盈利情况</w:t>
      </w:r>
    </w:p>
    <w:p>
      <w:pPr>
        <w:pStyle w:val="heading 2"/>
        <w:rPr>
          <w:lang w:val="zh-TW" w:eastAsia="zh-TW"/>
        </w:rPr>
      </w:pPr>
      <w:r>
        <w:rPr>
          <w:rtl w:val="0"/>
          <w:lang w:val="zh-TW" w:eastAsia="zh-TW"/>
        </w:rPr>
        <w:t>（二）创业挑战：运行成本高是创业过程中遇到最主要困难；市场开拓、创业空间支持和金融服务等专业方面的支持是海归创业过程中最需要的；当前创业服务所发挥出来的作用仍然有限。</w:t>
      </w:r>
    </w:p>
    <w:p>
      <w:pPr>
        <w:pStyle w:val="Normal.0"/>
        <w:ind w:firstLine="420"/>
      </w:pPr>
      <w:r>
        <w:rPr>
          <w:rtl w:val="0"/>
          <w:lang w:val="zh-TW" w:eastAsia="zh-TW"/>
        </w:rPr>
        <w:t>海归创业过程中遇到的最主要困难仍然是运行成本高，占比</w:t>
      </w:r>
      <w:r>
        <w:rPr>
          <w:rtl w:val="0"/>
          <w:lang w:val="en-US"/>
        </w:rPr>
        <w:t>56%</w:t>
      </w:r>
      <w:r>
        <w:rPr>
          <w:rtl w:val="0"/>
          <w:lang w:val="zh-TW" w:eastAsia="zh-TW"/>
        </w:rPr>
        <w:t>，我国营商环境有待进一步改善；其次，对国内市场不够了解的比例达到</w:t>
      </w:r>
      <w:r>
        <w:rPr>
          <w:rtl w:val="0"/>
          <w:lang w:val="en-US"/>
        </w:rPr>
        <w:t>38%</w:t>
      </w:r>
      <w:r>
        <w:rPr>
          <w:rtl w:val="0"/>
          <w:lang w:val="zh-TW" w:eastAsia="zh-TW"/>
        </w:rPr>
        <w:t>，因融资困难的比例为</w:t>
      </w:r>
      <w:r>
        <w:rPr>
          <w:rtl w:val="0"/>
          <w:lang w:val="en-US"/>
        </w:rPr>
        <w:t>37%</w:t>
      </w:r>
      <w:r>
        <w:rPr>
          <w:rtl w:val="0"/>
          <w:lang w:val="zh-TW" w:eastAsia="zh-TW"/>
        </w:rPr>
        <w:t>，相关创业服务不到位、政府相关政策配套不齐、技术成果转化比较困难、国内研发水平尚不支持、企业国际化发展比较困难分别占比为</w:t>
      </w:r>
      <w:r>
        <w:rPr>
          <w:rtl w:val="0"/>
          <w:lang w:val="en-US"/>
        </w:rPr>
        <w:t>27%</w:t>
      </w:r>
      <w:r>
        <w:rPr>
          <w:rtl w:val="0"/>
          <w:lang w:val="zh-TW" w:eastAsia="zh-TW"/>
        </w:rPr>
        <w:t>、</w:t>
      </w:r>
      <w:r>
        <w:rPr>
          <w:rtl w:val="0"/>
          <w:lang w:val="en-US"/>
        </w:rPr>
        <w:t>21%</w:t>
      </w:r>
      <w:r>
        <w:rPr>
          <w:rtl w:val="0"/>
          <w:lang w:val="zh-TW" w:eastAsia="zh-TW"/>
        </w:rPr>
        <w:t>、</w:t>
      </w:r>
      <w:r>
        <w:rPr>
          <w:rtl w:val="0"/>
          <w:lang w:val="en-US"/>
        </w:rPr>
        <w:t>13%</w:t>
      </w:r>
      <w:r>
        <w:rPr>
          <w:rtl w:val="0"/>
          <w:lang w:val="zh-TW" w:eastAsia="zh-TW"/>
        </w:rPr>
        <w:t>、</w:t>
      </w:r>
      <w:r>
        <w:rPr>
          <w:rtl w:val="0"/>
          <w:lang w:val="en-US"/>
        </w:rPr>
        <w:t>8%</w:t>
      </w:r>
      <w:r>
        <w:rPr>
          <w:rtl w:val="0"/>
          <w:lang w:val="zh-TW" w:eastAsia="zh-TW"/>
        </w:rPr>
        <w:t>、</w:t>
      </w:r>
      <w:r>
        <w:rPr>
          <w:rtl w:val="0"/>
          <w:lang w:val="en-US"/>
        </w:rPr>
        <w:t>6%</w:t>
      </w:r>
      <w:r>
        <w:rPr>
          <w:rtl w:val="0"/>
          <w:lang w:val="zh-TW" w:eastAsia="zh-TW"/>
        </w:rPr>
        <w:t>、</w:t>
      </w:r>
      <w:r>
        <w:rPr>
          <w:rtl w:val="0"/>
          <w:lang w:val="en-US"/>
        </w:rPr>
        <w:t>1%</w:t>
      </w:r>
      <w:r>
        <w:rPr>
          <w:rtl w:val="0"/>
          <w:lang w:val="zh-TW" w:eastAsia="zh-TW"/>
        </w:rPr>
        <w:t>。值得注意的是，女性海归创业者对于企业运行成本高的反应较男性海归创业者更为明显。</w:t>
      </w:r>
    </w:p>
    <w:p>
      <w:pPr>
        <w:pStyle w:val="Normal.0"/>
        <w:keepNext w:val="1"/>
      </w:pPr>
      <w:r>
        <w:drawing>
          <wp:inline distT="0" distB="0" distL="0" distR="0">
            <wp:extent cx="5185345" cy="2826588"/>
            <wp:effectExtent l="0" t="0" r="0" b="0"/>
            <wp:docPr id="1073741875" name="officeArt object"/>
            <wp:cNvGraphicFramePr/>
            <a:graphic xmlns:a="http://schemas.openxmlformats.org/drawingml/2006/main">
              <a:graphicData uri="http://schemas.openxmlformats.org/drawingml/2006/chart">
                <c:chart xmlns:c="http://schemas.openxmlformats.org/drawingml/2006/chart" r:id="rId51"/>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48 </w:t>
      </w:r>
      <w:r>
        <w:rPr>
          <w:rFonts w:ascii="黑体" w:cs="黑体" w:hAnsi="黑体" w:eastAsia="黑体"/>
          <w:rtl w:val="0"/>
          <w:lang w:val="zh-TW" w:eastAsia="zh-TW"/>
        </w:rPr>
        <w:t>创业过程中的主要困难</w:t>
      </w:r>
    </w:p>
    <w:p>
      <w:pPr>
        <w:pStyle w:val="Normal.0"/>
        <w:ind w:firstLine="420"/>
      </w:pPr>
      <w:r>
        <w:rPr>
          <w:rtl w:val="0"/>
          <w:lang w:val="zh-TW" w:eastAsia="zh-TW"/>
        </w:rPr>
        <w:t>海归创业者对于创业阶段所需的支持进行了排序，首先需要市场开拓（</w:t>
      </w:r>
      <w:r>
        <w:rPr>
          <w:rtl w:val="0"/>
          <w:lang w:val="en-US"/>
        </w:rPr>
        <w:t>41%</w:t>
      </w:r>
      <w:r>
        <w:rPr>
          <w:rtl w:val="0"/>
          <w:lang w:val="zh-TW" w:eastAsia="zh-TW"/>
        </w:rPr>
        <w:t>）、创业支持空间（</w:t>
      </w:r>
      <w:r>
        <w:rPr>
          <w:rtl w:val="0"/>
          <w:lang w:val="en-US"/>
        </w:rPr>
        <w:t>35%</w:t>
      </w:r>
      <w:r>
        <w:rPr>
          <w:rtl w:val="0"/>
          <w:lang w:val="zh-TW" w:eastAsia="zh-TW"/>
        </w:rPr>
        <w:t>）、金融服务（</w:t>
      </w:r>
      <w:r>
        <w:rPr>
          <w:rtl w:val="0"/>
          <w:lang w:val="en-US"/>
        </w:rPr>
        <w:t>34%</w:t>
      </w:r>
      <w:r>
        <w:rPr>
          <w:rtl w:val="0"/>
          <w:lang w:val="zh-TW" w:eastAsia="zh-TW"/>
        </w:rPr>
        <w:t>）专业方面的支持，其次是人力资源服务（</w:t>
      </w:r>
      <w:r>
        <w:rPr>
          <w:rtl w:val="0"/>
          <w:lang w:val="en-US"/>
        </w:rPr>
        <w:t>20%</w:t>
      </w:r>
      <w:r>
        <w:rPr>
          <w:rtl w:val="0"/>
          <w:lang w:val="zh-TW" w:eastAsia="zh-TW"/>
        </w:rPr>
        <w:t>）、专利保护（</w:t>
      </w:r>
      <w:r>
        <w:rPr>
          <w:rtl w:val="0"/>
          <w:lang w:val="en-US"/>
        </w:rPr>
        <w:t>15%</w:t>
      </w:r>
      <w:r>
        <w:rPr>
          <w:rtl w:val="0"/>
          <w:lang w:val="zh-TW" w:eastAsia="zh-TW"/>
        </w:rPr>
        <w:t>）、技术研发（</w:t>
      </w:r>
      <w:r>
        <w:rPr>
          <w:rtl w:val="0"/>
          <w:lang w:val="en-US"/>
        </w:rPr>
        <w:t>14%</w:t>
      </w:r>
      <w:r>
        <w:rPr>
          <w:rtl w:val="0"/>
          <w:lang w:val="zh-TW" w:eastAsia="zh-TW"/>
        </w:rPr>
        <w:t>）、法律支持（</w:t>
      </w:r>
      <w:r>
        <w:rPr>
          <w:rtl w:val="0"/>
          <w:lang w:val="en-US"/>
        </w:rPr>
        <w:t>11%</w:t>
      </w:r>
      <w:r>
        <w:rPr>
          <w:rtl w:val="0"/>
          <w:lang w:val="zh-TW" w:eastAsia="zh-TW"/>
        </w:rPr>
        <w:t>）、咨询管理服务（</w:t>
      </w:r>
      <w:r>
        <w:rPr>
          <w:rtl w:val="0"/>
          <w:lang w:val="en-US"/>
        </w:rPr>
        <w:t>8%</w:t>
      </w:r>
      <w:r>
        <w:rPr>
          <w:rtl w:val="0"/>
          <w:lang w:val="zh-TW" w:eastAsia="zh-TW"/>
        </w:rPr>
        <w:t>）、税收优惠（</w:t>
      </w:r>
      <w:r>
        <w:rPr>
          <w:rtl w:val="0"/>
          <w:lang w:val="en-US"/>
        </w:rPr>
        <w:t>8%</w:t>
      </w:r>
      <w:r>
        <w:rPr>
          <w:rtl w:val="0"/>
          <w:lang w:val="zh-TW" w:eastAsia="zh-TW"/>
        </w:rPr>
        <w:t>）、技术转移（</w:t>
      </w:r>
      <w:r>
        <w:rPr>
          <w:rtl w:val="0"/>
          <w:lang w:val="en-US"/>
        </w:rPr>
        <w:t>7%</w:t>
      </w:r>
      <w:r>
        <w:rPr>
          <w:rtl w:val="0"/>
          <w:lang w:val="zh-TW" w:eastAsia="zh-TW"/>
        </w:rPr>
        <w:t>）以及其它配套政策（</w:t>
      </w:r>
      <w:r>
        <w:rPr>
          <w:rtl w:val="0"/>
          <w:lang w:val="en-US"/>
        </w:rPr>
        <w:t>3%</w:t>
      </w:r>
      <w:r>
        <w:rPr>
          <w:rtl w:val="0"/>
          <w:lang w:val="zh-TW" w:eastAsia="zh-TW"/>
        </w:rPr>
        <w:t>）方面的支持。男性海归创业者关心创业空间支持和金融支持，女性海归创业者对市场开拓、创业辅导和技术研发的需要比例高于男性。</w:t>
      </w:r>
    </w:p>
    <w:p>
      <w:pPr>
        <w:pStyle w:val="Normal.0"/>
        <w:keepNext w:val="1"/>
      </w:pPr>
      <w:r>
        <w:drawing>
          <wp:inline distT="0" distB="0" distL="0" distR="0">
            <wp:extent cx="5185345" cy="2826588"/>
            <wp:effectExtent l="0" t="0" r="0" b="0"/>
            <wp:docPr id="1073741876" name="officeArt object"/>
            <wp:cNvGraphicFramePr/>
            <a:graphic xmlns:a="http://schemas.openxmlformats.org/drawingml/2006/main">
              <a:graphicData uri="http://schemas.openxmlformats.org/drawingml/2006/chart">
                <c:chart xmlns:c="http://schemas.openxmlformats.org/drawingml/2006/chart" r:id="rId52"/>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49 </w:t>
      </w:r>
      <w:r>
        <w:rPr>
          <w:rFonts w:ascii="黑体" w:cs="黑体" w:hAnsi="黑体" w:eastAsia="黑体"/>
          <w:rtl w:val="0"/>
          <w:lang w:val="zh-TW" w:eastAsia="zh-TW"/>
        </w:rPr>
        <w:t>创业过程中所需的支持</w:t>
      </w:r>
    </w:p>
    <w:p>
      <w:pPr>
        <w:pStyle w:val="Normal.0"/>
        <w:ind w:firstLine="420"/>
      </w:pPr>
      <w:r>
        <w:rPr>
          <w:rtl w:val="0"/>
          <w:lang w:val="zh-TW" w:eastAsia="zh-TW"/>
        </w:rPr>
        <w:t>不同性别的海归创业者对创业服务为其创业提供帮助的评价有显著差异。其中，认为帮助非常大的男性比例为</w:t>
      </w:r>
      <w:r>
        <w:rPr>
          <w:rtl w:val="0"/>
          <w:lang w:val="en-US"/>
        </w:rPr>
        <w:t>23%</w:t>
      </w:r>
      <w:r>
        <w:rPr>
          <w:rtl w:val="0"/>
          <w:lang w:val="zh-TW" w:eastAsia="zh-TW"/>
        </w:rPr>
        <w:t>，而女性仅为</w:t>
      </w:r>
      <w:r>
        <w:rPr>
          <w:rtl w:val="0"/>
          <w:lang w:val="en-US"/>
        </w:rPr>
        <w:t>4%</w:t>
      </w:r>
      <w:r>
        <w:rPr>
          <w:rtl w:val="0"/>
          <w:lang w:val="zh-TW" w:eastAsia="zh-TW"/>
        </w:rPr>
        <w:t>；认为帮助较大的男性比例为</w:t>
      </w:r>
      <w:r>
        <w:rPr>
          <w:rtl w:val="0"/>
          <w:lang w:val="en-US"/>
        </w:rPr>
        <w:t>26%</w:t>
      </w:r>
      <w:r>
        <w:rPr>
          <w:rtl w:val="0"/>
          <w:lang w:val="zh-TW" w:eastAsia="zh-TW"/>
        </w:rPr>
        <w:t>，女性为</w:t>
      </w:r>
      <w:r>
        <w:rPr>
          <w:rtl w:val="0"/>
          <w:lang w:val="en-US"/>
        </w:rPr>
        <w:t>18%</w:t>
      </w:r>
      <w:r>
        <w:rPr>
          <w:rtl w:val="0"/>
          <w:lang w:val="zh-TW" w:eastAsia="zh-TW"/>
        </w:rPr>
        <w:t>，认为一般的男性比例为</w:t>
      </w:r>
      <w:r>
        <w:rPr>
          <w:rtl w:val="0"/>
          <w:lang w:val="en-US"/>
        </w:rPr>
        <w:t>21%</w:t>
      </w:r>
      <w:r>
        <w:rPr>
          <w:rtl w:val="0"/>
          <w:lang w:val="zh-TW" w:eastAsia="zh-TW"/>
        </w:rPr>
        <w:t>，而女性比例达到</w:t>
      </w:r>
      <w:r>
        <w:rPr>
          <w:rtl w:val="0"/>
          <w:lang w:val="en-US"/>
        </w:rPr>
        <w:t>43%</w:t>
      </w:r>
      <w:r>
        <w:rPr>
          <w:rtl w:val="0"/>
          <w:lang w:val="zh-TW" w:eastAsia="zh-TW"/>
        </w:rPr>
        <w:t>；认为帮助很小的男性占比为</w:t>
      </w:r>
      <w:r>
        <w:rPr>
          <w:rtl w:val="0"/>
          <w:lang w:val="en-US"/>
        </w:rPr>
        <w:t>5%</w:t>
      </w:r>
      <w:r>
        <w:rPr>
          <w:rtl w:val="0"/>
          <w:lang w:val="zh-TW" w:eastAsia="zh-TW"/>
        </w:rPr>
        <w:t>，女性占比</w:t>
      </w:r>
      <w:r>
        <w:rPr>
          <w:rtl w:val="0"/>
          <w:lang w:val="en-US"/>
        </w:rPr>
        <w:t>11%</w:t>
      </w:r>
      <w:r>
        <w:rPr>
          <w:rtl w:val="0"/>
          <w:lang w:val="zh-TW" w:eastAsia="zh-TW"/>
        </w:rPr>
        <w:t>；认为没有帮助的男性比例为</w:t>
      </w:r>
      <w:r>
        <w:rPr>
          <w:rtl w:val="0"/>
          <w:lang w:val="en-US"/>
        </w:rPr>
        <w:t>14%</w:t>
      </w:r>
      <w:r>
        <w:rPr>
          <w:rtl w:val="0"/>
          <w:lang w:val="zh-TW" w:eastAsia="zh-TW"/>
        </w:rPr>
        <w:t>，女性比例为</w:t>
      </w:r>
      <w:r>
        <w:rPr>
          <w:rtl w:val="0"/>
          <w:lang w:val="en-US"/>
        </w:rPr>
        <w:t>7%</w:t>
      </w:r>
      <w:r>
        <w:rPr>
          <w:rtl w:val="0"/>
          <w:lang w:val="zh-TW" w:eastAsia="zh-TW"/>
        </w:rPr>
        <w:t>；认为不清楚的男性比例为</w:t>
      </w:r>
      <w:r>
        <w:rPr>
          <w:rtl w:val="0"/>
          <w:lang w:val="en-US"/>
        </w:rPr>
        <w:t>12%</w:t>
      </w:r>
      <w:r>
        <w:rPr>
          <w:rtl w:val="0"/>
          <w:lang w:val="zh-TW" w:eastAsia="zh-TW"/>
        </w:rPr>
        <w:t>，女性比例为</w:t>
      </w:r>
      <w:r>
        <w:rPr>
          <w:rtl w:val="0"/>
          <w:lang w:val="en-US"/>
        </w:rPr>
        <w:t>18%</w:t>
      </w:r>
      <w:r>
        <w:rPr>
          <w:rtl w:val="0"/>
          <w:lang w:val="zh-TW" w:eastAsia="zh-TW"/>
        </w:rPr>
        <w:t>。在创业服务的供应方面，应当对女性海归创业者予以更多的关注。</w:t>
      </w:r>
    </w:p>
    <w:p>
      <w:pPr>
        <w:pStyle w:val="Normal.0"/>
        <w:keepNext w:val="1"/>
      </w:pPr>
      <w:r>
        <w:drawing>
          <wp:inline distT="0" distB="0" distL="0" distR="0">
            <wp:extent cx="5185345" cy="2826588"/>
            <wp:effectExtent l="0" t="0" r="0" b="0"/>
            <wp:docPr id="1073741877" name="officeArt object"/>
            <wp:cNvGraphicFramePr/>
            <a:graphic xmlns:a="http://schemas.openxmlformats.org/drawingml/2006/main">
              <a:graphicData uri="http://schemas.openxmlformats.org/drawingml/2006/chart">
                <c:chart xmlns:c="http://schemas.openxmlformats.org/drawingml/2006/chart" r:id="rId53"/>
              </a:graphicData>
            </a:graphic>
          </wp:inline>
        </w:drawing>
      </w:r>
    </w:p>
    <w:p>
      <w:pPr>
        <w:pStyle w:val="heading 3"/>
        <w:spacing w:before="156" w:after="312"/>
      </w:pPr>
      <w:r>
        <w:rPr>
          <w:rFonts w:ascii="黑体" w:cs="黑体" w:hAnsi="黑体" w:eastAsia="黑体"/>
          <w:rtl w:val="0"/>
          <w:lang w:val="zh-TW" w:eastAsia="zh-TW"/>
        </w:rPr>
        <w:t>图</w:t>
      </w:r>
      <w:r>
        <w:rPr>
          <w:rtl w:val="0"/>
          <w:lang w:val="en-US"/>
        </w:rPr>
        <w:t xml:space="preserve"> 50 </w:t>
      </w:r>
      <w:r>
        <w:rPr>
          <w:rFonts w:ascii="黑体" w:cs="黑体" w:hAnsi="黑体" w:eastAsia="黑体"/>
          <w:rtl w:val="0"/>
          <w:lang w:val="zh-TW" w:eastAsia="zh-TW"/>
        </w:rPr>
        <w:t>创业服务对于创业者的作用</w:t>
      </w:r>
    </w:p>
    <w:sectPr>
      <w:headerReference w:type="default" r:id="rId54"/>
      <w:footerReference w:type="default" r:id="rId5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黑体">
    <w:charset w:val="00"/>
    <w:family w:val="roman"/>
    <w:pitch w:val="default"/>
  </w:font>
  <w:font w:name="Calibri Light">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lang w:val="en-US"/>
        </w:rPr>
        <w:footnoteRef/>
      </w:r>
      <w:r>
        <w:rPr>
          <w:rtl w:val="0"/>
          <w:lang w:val="en-US"/>
        </w:rPr>
        <w:t xml:space="preserve"> </w:t>
      </w:r>
      <w:r>
        <w:rPr>
          <w:rtl w:val="0"/>
          <w:lang w:val="zh-TW" w:eastAsia="zh-TW"/>
        </w:rPr>
        <w:t>未发生迁移指生源地与现居住地在省界区间未发生变化，包括同省内的城市间的迁移和同省同城市未迁移两种情况。</w:t>
      </w:r>
    </w:p>
  </w:footnote>
  <w:footnote w:id="2">
    <w:p>
      <w:pPr>
        <w:pStyle w:val="footnote text"/>
      </w:pPr>
      <w:r>
        <w:rPr>
          <w:vertAlign w:val="superscript"/>
          <w:lang w:val="en-US"/>
        </w:rPr>
        <w:footnoteRef/>
      </w:r>
      <w:r>
        <w:rPr>
          <w:rtl w:val="0"/>
          <w:lang w:val="en-US"/>
        </w:rPr>
        <w:t xml:space="preserve"> </w:t>
      </w:r>
      <w:r>
        <w:rPr>
          <w:rtl w:val="0"/>
          <w:lang w:val="zh-TW" w:eastAsia="zh-TW"/>
        </w:rPr>
        <w:t>本处研究对样本数量进行了控制，即省市生源样本不少于</w:t>
      </w:r>
      <w:r>
        <w:rPr>
          <w:rtl w:val="0"/>
          <w:lang w:val="en-US"/>
        </w:rPr>
        <w:t>3%</w:t>
      </w:r>
      <w:r>
        <w:rPr>
          <w:rtl w:val="0"/>
          <w:lang w:val="zh-TW" w:eastAsia="zh-TW"/>
        </w:rPr>
        <w:t>或</w:t>
      </w:r>
      <w:r>
        <w:rPr>
          <w:rtl w:val="0"/>
          <w:lang w:val="en-US"/>
        </w:rPr>
        <w:t>60</w:t>
      </w:r>
      <w:r>
        <w:rPr>
          <w:rtl w:val="0"/>
          <w:lang w:val="zh-TW" w:eastAsia="zh-TW"/>
        </w:rPr>
        <w:t>人。</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heading 1">
    <w:name w:val="heading 1"/>
    <w:next w:val="Normal.0"/>
    <w:pPr>
      <w:keepNext w:val="1"/>
      <w:keepLines w:val="1"/>
      <w:pageBreakBefore w:val="0"/>
      <w:widowControl w:val="0"/>
      <w:shd w:val="clear" w:color="auto" w:fill="auto"/>
      <w:suppressAutoHyphens w:val="0"/>
      <w:bidi w:val="0"/>
      <w:spacing w:before="340" w:after="330" w:line="360" w:lineRule="auto"/>
      <w:ind w:left="0" w:right="0" w:firstLine="0"/>
      <w:jc w:val="center"/>
      <w:outlineLvl w:val="0"/>
    </w:pPr>
    <w:rPr>
      <w:rFonts w:ascii="Calibri" w:cs="Calibri" w:hAnsi="Calibri" w:eastAsia="Calibri"/>
      <w:b w:val="1"/>
      <w:bCs w:val="1"/>
      <w:i w:val="0"/>
      <w:iCs w:val="0"/>
      <w:caps w:val="0"/>
      <w:smallCaps w:val="0"/>
      <w:strike w:val="0"/>
      <w:dstrike w:val="0"/>
      <w:outline w:val="0"/>
      <w:color w:val="000000"/>
      <w:spacing w:val="0"/>
      <w:kern w:val="44"/>
      <w:position w:val="0"/>
      <w:sz w:val="32"/>
      <w:szCs w:val="32"/>
      <w:u w:val="none" w:color="000000"/>
      <w:vertAlign w:val="baseline"/>
      <w:lang w:val="en-US"/>
    </w:rPr>
  </w:style>
  <w:style w:type="paragraph" w:styleId="heading 2">
    <w:name w:val="heading 2"/>
    <w:next w:val="Normal.0"/>
    <w:pPr>
      <w:keepNext w:val="1"/>
      <w:keepLines w:val="1"/>
      <w:pageBreakBefore w:val="0"/>
      <w:widowControl w:val="0"/>
      <w:shd w:val="clear" w:color="auto" w:fill="auto"/>
      <w:suppressAutoHyphens w:val="0"/>
      <w:bidi w:val="0"/>
      <w:spacing w:before="260" w:after="260" w:line="360" w:lineRule="auto"/>
      <w:ind w:left="0" w:right="0" w:firstLine="0"/>
      <w:jc w:val="both"/>
      <w:outlineLvl w:val="1"/>
    </w:pPr>
    <w:rPr>
      <w:rFonts w:ascii="Calibri Light" w:cs="Calibri Light" w:hAnsi="Calibri Light" w:eastAsia="Calibri Light"/>
      <w:b w:val="1"/>
      <w:bCs w:val="1"/>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3">
    <w:name w:val="heading 3"/>
    <w:next w:val="Normal.0"/>
    <w:pPr>
      <w:keepNext w:val="0"/>
      <w:keepLines w:val="0"/>
      <w:pageBreakBefore w:val="0"/>
      <w:widowControl w:val="0"/>
      <w:shd w:val="clear" w:color="auto" w:fill="auto"/>
      <w:suppressAutoHyphens w:val="0"/>
      <w:bidi w:val="0"/>
      <w:spacing w:before="50" w:after="100" w:line="240" w:lineRule="auto"/>
      <w:ind w:left="0" w:right="0" w:firstLine="0"/>
      <w:jc w:val="center"/>
      <w:outlineLvl w:val="2"/>
    </w:pPr>
    <w:rPr>
      <w:rFonts w:ascii="Calibri Light" w:cs="Calibri Light" w:hAnsi="Calibri Light" w:eastAsia="Calibri Light"/>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chart" Target="charts/chart8.xml"/><Relationship Id="rId12" Type="http://schemas.openxmlformats.org/officeDocument/2006/relationships/chart" Target="charts/chart9.xml"/><Relationship Id="rId13" Type="http://schemas.openxmlformats.org/officeDocument/2006/relationships/chart" Target="charts/chart10.xml"/><Relationship Id="rId14" Type="http://schemas.openxmlformats.org/officeDocument/2006/relationships/chart" Target="charts/chart11.xml"/><Relationship Id="rId15" Type="http://schemas.openxmlformats.org/officeDocument/2006/relationships/chart" Target="charts/chart12.xml"/><Relationship Id="rId16" Type="http://schemas.openxmlformats.org/officeDocument/2006/relationships/chart" Target="charts/chart13.xml"/><Relationship Id="rId17" Type="http://schemas.openxmlformats.org/officeDocument/2006/relationships/chart" Target="charts/chart14.xml"/><Relationship Id="rId18" Type="http://schemas.openxmlformats.org/officeDocument/2006/relationships/chart" Target="charts/chart15.xml"/><Relationship Id="rId19" Type="http://schemas.openxmlformats.org/officeDocument/2006/relationships/chart" Target="charts/chart16.xml"/><Relationship Id="rId20" Type="http://schemas.openxmlformats.org/officeDocument/2006/relationships/chart" Target="charts/chart17.xml"/><Relationship Id="rId21" Type="http://schemas.openxmlformats.org/officeDocument/2006/relationships/chart" Target="charts/chart18.xml"/><Relationship Id="rId22" Type="http://schemas.openxmlformats.org/officeDocument/2006/relationships/chart" Target="charts/chart19.xml"/><Relationship Id="rId23" Type="http://schemas.openxmlformats.org/officeDocument/2006/relationships/chart" Target="charts/chart20.xml"/><Relationship Id="rId24" Type="http://schemas.openxmlformats.org/officeDocument/2006/relationships/chart" Target="charts/chart21.xml"/><Relationship Id="rId25" Type="http://schemas.openxmlformats.org/officeDocument/2006/relationships/chart" Target="charts/chart22.xml"/><Relationship Id="rId26" Type="http://schemas.openxmlformats.org/officeDocument/2006/relationships/chart" Target="charts/chart23.xml"/><Relationship Id="rId27" Type="http://schemas.openxmlformats.org/officeDocument/2006/relationships/chart" Target="charts/chart24.xml"/><Relationship Id="rId28" Type="http://schemas.openxmlformats.org/officeDocument/2006/relationships/chart" Target="charts/chart25.xml"/><Relationship Id="rId29" Type="http://schemas.openxmlformats.org/officeDocument/2006/relationships/chart" Target="charts/chart26.xml"/><Relationship Id="rId30" Type="http://schemas.openxmlformats.org/officeDocument/2006/relationships/chart" Target="charts/chart27.xml"/><Relationship Id="rId31" Type="http://schemas.openxmlformats.org/officeDocument/2006/relationships/chart" Target="charts/chart28.xml"/><Relationship Id="rId32" Type="http://schemas.openxmlformats.org/officeDocument/2006/relationships/chart" Target="charts/chart29.xml"/><Relationship Id="rId33" Type="http://schemas.openxmlformats.org/officeDocument/2006/relationships/chart" Target="charts/chart30.xml"/><Relationship Id="rId34" Type="http://schemas.openxmlformats.org/officeDocument/2006/relationships/chart" Target="charts/chart31.xml"/><Relationship Id="rId35" Type="http://schemas.openxmlformats.org/officeDocument/2006/relationships/chart" Target="charts/chart32.xml"/><Relationship Id="rId36" Type="http://schemas.openxmlformats.org/officeDocument/2006/relationships/chart" Target="charts/chart33.xml"/><Relationship Id="rId37" Type="http://schemas.openxmlformats.org/officeDocument/2006/relationships/chart" Target="charts/chart34.xml"/><Relationship Id="rId38" Type="http://schemas.openxmlformats.org/officeDocument/2006/relationships/chart" Target="charts/chart35.xml"/><Relationship Id="rId39" Type="http://schemas.openxmlformats.org/officeDocument/2006/relationships/chart" Target="charts/chart36.xml"/><Relationship Id="rId40" Type="http://schemas.openxmlformats.org/officeDocument/2006/relationships/chart" Target="charts/chart37.xml"/><Relationship Id="rId41" Type="http://schemas.openxmlformats.org/officeDocument/2006/relationships/chart" Target="charts/chart38.xml"/><Relationship Id="rId42" Type="http://schemas.openxmlformats.org/officeDocument/2006/relationships/chart" Target="charts/chart39.xml"/><Relationship Id="rId43" Type="http://schemas.openxmlformats.org/officeDocument/2006/relationships/chart" Target="charts/chart40.xml"/><Relationship Id="rId44" Type="http://schemas.openxmlformats.org/officeDocument/2006/relationships/chart" Target="charts/chart41.xml"/><Relationship Id="rId45" Type="http://schemas.openxmlformats.org/officeDocument/2006/relationships/chart" Target="charts/chart42.xml"/><Relationship Id="rId46" Type="http://schemas.openxmlformats.org/officeDocument/2006/relationships/chart" Target="charts/chart43.xml"/><Relationship Id="rId47" Type="http://schemas.openxmlformats.org/officeDocument/2006/relationships/chart" Target="charts/chart44.xml"/><Relationship Id="rId48" Type="http://schemas.openxmlformats.org/officeDocument/2006/relationships/chart" Target="charts/chart45.xml"/><Relationship Id="rId49" Type="http://schemas.openxmlformats.org/officeDocument/2006/relationships/chart" Target="charts/chart46.xml"/><Relationship Id="rId50" Type="http://schemas.openxmlformats.org/officeDocument/2006/relationships/chart" Target="charts/chart47.xml"/><Relationship Id="rId51" Type="http://schemas.openxmlformats.org/officeDocument/2006/relationships/chart" Target="charts/chart48.xml"/><Relationship Id="rId52" Type="http://schemas.openxmlformats.org/officeDocument/2006/relationships/chart" Target="charts/chart49.xml"/><Relationship Id="rId53" Type="http://schemas.openxmlformats.org/officeDocument/2006/relationships/chart" Target="charts/chart50.xml"/><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notes" Target="footnotes.xml"/><Relationship Id="rId57"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Relationships xmlns="http://schemas.openxmlformats.org/package/2006/relationships"><Relationship Id="rId1" Type="http://schemas.openxmlformats.org/officeDocument/2006/relationships/package" Target="../embeddings/Microsoft_Excel_Sheet11.xlsx"/></Relationships>

</file>

<file path=word/charts/_rels/chart12.xml.rels><?xml version="1.0" encoding="UTF-8"?>
<Relationships xmlns="http://schemas.openxmlformats.org/package/2006/relationships"><Relationship Id="rId1" Type="http://schemas.openxmlformats.org/officeDocument/2006/relationships/package" Target="../embeddings/Microsoft_Excel_Sheet12.xlsx"/></Relationships>

</file>

<file path=word/charts/_rels/chart13.xml.rels><?xml version="1.0" encoding="UTF-8"?>
<Relationships xmlns="http://schemas.openxmlformats.org/package/2006/relationships"><Relationship Id="rId1" Type="http://schemas.openxmlformats.org/officeDocument/2006/relationships/package" Target="../embeddings/Microsoft_Excel_Sheet13.xlsx"/></Relationships>

</file>

<file path=word/charts/_rels/chart14.xml.rels><?xml version="1.0" encoding="UTF-8"?>
<Relationships xmlns="http://schemas.openxmlformats.org/package/2006/relationships"><Relationship Id="rId1" Type="http://schemas.openxmlformats.org/officeDocument/2006/relationships/package" Target="../embeddings/Microsoft_Excel_Sheet14.xlsx"/></Relationships>

</file>

<file path=word/charts/_rels/chart15.xml.rels><?xml version="1.0" encoding="UTF-8"?>
<Relationships xmlns="http://schemas.openxmlformats.org/package/2006/relationships"><Relationship Id="rId1" Type="http://schemas.openxmlformats.org/officeDocument/2006/relationships/package" Target="../embeddings/Microsoft_Excel_Sheet15.xlsx"/></Relationships>

</file>

<file path=word/charts/_rels/chart16.xml.rels><?xml version="1.0" encoding="UTF-8"?>
<Relationships xmlns="http://schemas.openxmlformats.org/package/2006/relationships"><Relationship Id="rId1" Type="http://schemas.openxmlformats.org/officeDocument/2006/relationships/package" Target="../embeddings/Microsoft_Excel_Sheet16.xlsx"/></Relationships>

</file>

<file path=word/charts/_rels/chart17.xml.rels><?xml version="1.0" encoding="UTF-8"?>
<Relationships xmlns="http://schemas.openxmlformats.org/package/2006/relationships"><Relationship Id="rId1" Type="http://schemas.openxmlformats.org/officeDocument/2006/relationships/package" Target="../embeddings/Microsoft_Excel_Sheet17.xlsx"/></Relationships>

</file>

<file path=word/charts/_rels/chart18.xml.rels><?xml version="1.0" encoding="UTF-8"?>
<Relationships xmlns="http://schemas.openxmlformats.org/package/2006/relationships"><Relationship Id="rId1" Type="http://schemas.openxmlformats.org/officeDocument/2006/relationships/package" Target="../embeddings/Microsoft_Excel_Sheet18.xlsx"/></Relationships>

</file>

<file path=word/charts/_rels/chart19.xml.rels><?xml version="1.0" encoding="UTF-8"?>
<Relationships xmlns="http://schemas.openxmlformats.org/package/2006/relationships"><Relationship Id="rId1" Type="http://schemas.openxmlformats.org/officeDocument/2006/relationships/package" Target="../embeddings/Microsoft_Excel_Sheet19.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_rels/chart20.xml.rels><?xml version="1.0" encoding="UTF-8"?>
<Relationships xmlns="http://schemas.openxmlformats.org/package/2006/relationships"><Relationship Id="rId1" Type="http://schemas.openxmlformats.org/officeDocument/2006/relationships/package" Target="../embeddings/Microsoft_Excel_Sheet20.xlsx"/></Relationships>

</file>

<file path=word/charts/_rels/chart21.xml.rels><?xml version="1.0" encoding="UTF-8"?>
<Relationships xmlns="http://schemas.openxmlformats.org/package/2006/relationships"><Relationship Id="rId1" Type="http://schemas.openxmlformats.org/officeDocument/2006/relationships/package" Target="../embeddings/Microsoft_Excel_Sheet21.xlsx"/></Relationships>

</file>

<file path=word/charts/_rels/chart22.xml.rels><?xml version="1.0" encoding="UTF-8"?>
<Relationships xmlns="http://schemas.openxmlformats.org/package/2006/relationships"><Relationship Id="rId1" Type="http://schemas.openxmlformats.org/officeDocument/2006/relationships/package" Target="../embeddings/Microsoft_Excel_Sheet22.xlsx"/></Relationships>

</file>

<file path=word/charts/_rels/chart23.xml.rels><?xml version="1.0" encoding="UTF-8"?>
<Relationships xmlns="http://schemas.openxmlformats.org/package/2006/relationships"><Relationship Id="rId1" Type="http://schemas.openxmlformats.org/officeDocument/2006/relationships/package" Target="../embeddings/Microsoft_Excel_Sheet23.xlsx"/></Relationships>

</file>

<file path=word/charts/_rels/chart24.xml.rels><?xml version="1.0" encoding="UTF-8"?>
<Relationships xmlns="http://schemas.openxmlformats.org/package/2006/relationships"><Relationship Id="rId1" Type="http://schemas.openxmlformats.org/officeDocument/2006/relationships/package" Target="../embeddings/Microsoft_Excel_Sheet24.xlsx"/></Relationships>

</file>

<file path=word/charts/_rels/chart25.xml.rels><?xml version="1.0" encoding="UTF-8"?>
<Relationships xmlns="http://schemas.openxmlformats.org/package/2006/relationships"><Relationship Id="rId1" Type="http://schemas.openxmlformats.org/officeDocument/2006/relationships/package" Target="../embeddings/Microsoft_Excel_Sheet25.xlsx"/></Relationships>

</file>

<file path=word/charts/_rels/chart26.xml.rels><?xml version="1.0" encoding="UTF-8"?>
<Relationships xmlns="http://schemas.openxmlformats.org/package/2006/relationships"><Relationship Id="rId1" Type="http://schemas.openxmlformats.org/officeDocument/2006/relationships/package" Target="../embeddings/Microsoft_Excel_Sheet26.xlsx"/></Relationships>

</file>

<file path=word/charts/_rels/chart27.xml.rels><?xml version="1.0" encoding="UTF-8"?>
<Relationships xmlns="http://schemas.openxmlformats.org/package/2006/relationships"><Relationship Id="rId1" Type="http://schemas.openxmlformats.org/officeDocument/2006/relationships/package" Target="../embeddings/Microsoft_Excel_Sheet27.xlsx"/></Relationships>

</file>

<file path=word/charts/_rels/chart28.xml.rels><?xml version="1.0" encoding="UTF-8"?>
<Relationships xmlns="http://schemas.openxmlformats.org/package/2006/relationships"><Relationship Id="rId1" Type="http://schemas.openxmlformats.org/officeDocument/2006/relationships/package" Target="../embeddings/Microsoft_Excel_Sheet28.xlsx"/></Relationships>

</file>

<file path=word/charts/_rels/chart29.xml.rels><?xml version="1.0" encoding="UTF-8"?>
<Relationships xmlns="http://schemas.openxmlformats.org/package/2006/relationships"><Relationship Id="rId1" Type="http://schemas.openxmlformats.org/officeDocument/2006/relationships/package" Target="../embeddings/Microsoft_Excel_Sheet29.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Sheet3.xlsx"/></Relationships>

</file>

<file path=word/charts/_rels/chart30.xml.rels><?xml version="1.0" encoding="UTF-8"?>
<Relationships xmlns="http://schemas.openxmlformats.org/package/2006/relationships"><Relationship Id="rId1" Type="http://schemas.openxmlformats.org/officeDocument/2006/relationships/package" Target="../embeddings/Microsoft_Excel_Sheet30.xlsx"/></Relationships>

</file>

<file path=word/charts/_rels/chart31.xml.rels><?xml version="1.0" encoding="UTF-8"?>
<Relationships xmlns="http://schemas.openxmlformats.org/package/2006/relationships"><Relationship Id="rId1" Type="http://schemas.openxmlformats.org/officeDocument/2006/relationships/package" Target="../embeddings/Microsoft_Excel_Sheet31.xlsx"/></Relationships>

</file>

<file path=word/charts/_rels/chart32.xml.rels><?xml version="1.0" encoding="UTF-8"?>
<Relationships xmlns="http://schemas.openxmlformats.org/package/2006/relationships"><Relationship Id="rId1" Type="http://schemas.openxmlformats.org/officeDocument/2006/relationships/package" Target="../embeddings/Microsoft_Excel_Sheet32.xlsx"/></Relationships>

</file>

<file path=word/charts/_rels/chart33.xml.rels><?xml version="1.0" encoding="UTF-8"?>
<Relationships xmlns="http://schemas.openxmlformats.org/package/2006/relationships"><Relationship Id="rId1" Type="http://schemas.openxmlformats.org/officeDocument/2006/relationships/package" Target="../embeddings/Microsoft_Excel_Sheet33.xlsx"/></Relationships>

</file>

<file path=word/charts/_rels/chart34.xml.rels><?xml version="1.0" encoding="UTF-8"?>
<Relationships xmlns="http://schemas.openxmlformats.org/package/2006/relationships"><Relationship Id="rId1" Type="http://schemas.openxmlformats.org/officeDocument/2006/relationships/package" Target="../embeddings/Microsoft_Excel_Sheet34.xlsx"/></Relationships>

</file>

<file path=word/charts/_rels/chart35.xml.rels><?xml version="1.0" encoding="UTF-8"?>
<Relationships xmlns="http://schemas.openxmlformats.org/package/2006/relationships"><Relationship Id="rId1" Type="http://schemas.openxmlformats.org/officeDocument/2006/relationships/package" Target="../embeddings/Microsoft_Excel_Sheet35.xlsx"/></Relationships>

</file>

<file path=word/charts/_rels/chart36.xml.rels><?xml version="1.0" encoding="UTF-8"?>
<Relationships xmlns="http://schemas.openxmlformats.org/package/2006/relationships"><Relationship Id="rId1" Type="http://schemas.openxmlformats.org/officeDocument/2006/relationships/package" Target="../embeddings/Microsoft_Excel_Sheet36.xlsx"/></Relationships>

</file>

<file path=word/charts/_rels/chart37.xml.rels><?xml version="1.0" encoding="UTF-8"?>
<Relationships xmlns="http://schemas.openxmlformats.org/package/2006/relationships"><Relationship Id="rId1" Type="http://schemas.openxmlformats.org/officeDocument/2006/relationships/package" Target="../embeddings/Microsoft_Excel_Sheet37.xlsx"/></Relationships>

</file>

<file path=word/charts/_rels/chart38.xml.rels><?xml version="1.0" encoding="UTF-8"?>
<Relationships xmlns="http://schemas.openxmlformats.org/package/2006/relationships"><Relationship Id="rId1" Type="http://schemas.openxmlformats.org/officeDocument/2006/relationships/package" Target="../embeddings/Microsoft_Excel_Sheet38.xlsx"/></Relationships>

</file>

<file path=word/charts/_rels/chart39.xml.rels><?xml version="1.0" encoding="UTF-8"?>
<Relationships xmlns="http://schemas.openxmlformats.org/package/2006/relationships"><Relationship Id="rId1" Type="http://schemas.openxmlformats.org/officeDocument/2006/relationships/package" Target="../embeddings/Microsoft_Excel_Sheet39.xlsx"/></Relationships>

</file>

<file path=word/charts/_rels/chart4.xml.rels><?xml version="1.0" encoding="UTF-8"?>
<Relationships xmlns="http://schemas.openxmlformats.org/package/2006/relationships"><Relationship Id="rId1" Type="http://schemas.openxmlformats.org/officeDocument/2006/relationships/package" Target="../embeddings/Microsoft_Excel_Sheet4.xlsx"/></Relationships>

</file>

<file path=word/charts/_rels/chart40.xml.rels><?xml version="1.0" encoding="UTF-8"?>
<Relationships xmlns="http://schemas.openxmlformats.org/package/2006/relationships"><Relationship Id="rId1" Type="http://schemas.openxmlformats.org/officeDocument/2006/relationships/package" Target="../embeddings/Microsoft_Excel_Sheet40.xlsx"/></Relationships>

</file>

<file path=word/charts/_rels/chart41.xml.rels><?xml version="1.0" encoding="UTF-8"?>
<Relationships xmlns="http://schemas.openxmlformats.org/package/2006/relationships"><Relationship Id="rId1" Type="http://schemas.openxmlformats.org/officeDocument/2006/relationships/package" Target="../embeddings/Microsoft_Excel_Sheet41.xlsx"/></Relationships>

</file>

<file path=word/charts/_rels/chart42.xml.rels><?xml version="1.0" encoding="UTF-8"?>
<Relationships xmlns="http://schemas.openxmlformats.org/package/2006/relationships"><Relationship Id="rId1" Type="http://schemas.openxmlformats.org/officeDocument/2006/relationships/package" Target="../embeddings/Microsoft_Excel_Sheet42.xlsx"/></Relationships>

</file>

<file path=word/charts/_rels/chart43.xml.rels><?xml version="1.0" encoding="UTF-8"?>
<Relationships xmlns="http://schemas.openxmlformats.org/package/2006/relationships"><Relationship Id="rId1" Type="http://schemas.openxmlformats.org/officeDocument/2006/relationships/package" Target="../embeddings/Microsoft_Excel_Sheet43.xlsx"/></Relationships>

</file>

<file path=word/charts/_rels/chart44.xml.rels><?xml version="1.0" encoding="UTF-8"?>
<Relationships xmlns="http://schemas.openxmlformats.org/package/2006/relationships"><Relationship Id="rId1" Type="http://schemas.openxmlformats.org/officeDocument/2006/relationships/package" Target="../embeddings/Microsoft_Excel_Sheet44.xlsx"/></Relationships>

</file>

<file path=word/charts/_rels/chart45.xml.rels><?xml version="1.0" encoding="UTF-8"?>
<Relationships xmlns="http://schemas.openxmlformats.org/package/2006/relationships"><Relationship Id="rId1" Type="http://schemas.openxmlformats.org/officeDocument/2006/relationships/package" Target="../embeddings/Microsoft_Excel_Sheet45.xlsx"/></Relationships>

</file>

<file path=word/charts/_rels/chart46.xml.rels><?xml version="1.0" encoding="UTF-8"?>
<Relationships xmlns="http://schemas.openxmlformats.org/package/2006/relationships"><Relationship Id="rId1" Type="http://schemas.openxmlformats.org/officeDocument/2006/relationships/package" Target="../embeddings/Microsoft_Excel_Sheet46.xlsx"/></Relationships>

</file>

<file path=word/charts/_rels/chart47.xml.rels><?xml version="1.0" encoding="UTF-8"?>
<Relationships xmlns="http://schemas.openxmlformats.org/package/2006/relationships"><Relationship Id="rId1" Type="http://schemas.openxmlformats.org/officeDocument/2006/relationships/package" Target="../embeddings/Microsoft_Excel_Sheet47.xlsx"/></Relationships>

</file>

<file path=word/charts/_rels/chart48.xml.rels><?xml version="1.0" encoding="UTF-8"?>
<Relationships xmlns="http://schemas.openxmlformats.org/package/2006/relationships"><Relationship Id="rId1" Type="http://schemas.openxmlformats.org/officeDocument/2006/relationships/package" Target="../embeddings/Microsoft_Excel_Sheet48.xlsx"/></Relationships>

</file>

<file path=word/charts/_rels/chart49.xml.rels><?xml version="1.0" encoding="UTF-8"?>
<Relationships xmlns="http://schemas.openxmlformats.org/package/2006/relationships"><Relationship Id="rId1" Type="http://schemas.openxmlformats.org/officeDocument/2006/relationships/package" Target="../embeddings/Microsoft_Excel_Sheet49.xlsx"/></Relationships>

</file>

<file path=word/charts/_rels/chart5.xml.rels><?xml version="1.0" encoding="UTF-8"?>
<Relationships xmlns="http://schemas.openxmlformats.org/package/2006/relationships"><Relationship Id="rId1" Type="http://schemas.openxmlformats.org/officeDocument/2006/relationships/package" Target="../embeddings/Microsoft_Excel_Sheet5.xlsx"/></Relationships>

</file>

<file path=word/charts/_rels/chart50.xml.rels><?xml version="1.0" encoding="UTF-8"?>
<Relationships xmlns="http://schemas.openxmlformats.org/package/2006/relationships"><Relationship Id="rId1" Type="http://schemas.openxmlformats.org/officeDocument/2006/relationships/package" Target="../embeddings/Microsoft_Excel_Sheet50.xlsx"/></Relationships>

</file>

<file path=word/charts/_rels/chart6.xml.rels><?xml version="1.0" encoding="UTF-8"?>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75016"/>
        </c:manualLayout>
      </c:layout>
      <c:doughnutChart>
        <c:varyColors val="0"/>
        <c:ser>
          <c:idx val="0"/>
          <c:order val="0"/>
          <c:tx>
            <c:strRef>
              <c:f>Sheet1!$A$2</c:f>
              <c:strCache>
                <c:ptCount val="1"/>
                <c:pt idx="0">
                  <c:v>汇总</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Lbls>
            <c:dLbl>
              <c:idx val="0"/>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1"/>
              <c:showBubbleSize val="0"/>
            </c:dLbl>
            <c:dLbl>
              <c:idx val="1"/>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1"/>
              <c:showBubbleSize val="0"/>
            </c:dLbl>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1"/>
            <c:showBubbleSize val="0"/>
            <c:showLeaderLines val="1"/>
            <c:leaderLines>
              <c:spPr>
                <a:noFill/>
                <a:ln w="9525" cap="flat">
                  <a:solidFill>
                    <a:srgbClr val="B7C2D1"/>
                  </a:solidFill>
                  <a:prstDash val="solid"/>
                  <a:round/>
                </a:ln>
                <a:effectLst/>
              </c:spPr>
            </c:leaderLines>
          </c:dLbls>
          <c:cat>
            <c:strRef>
              <c:f>Sheet1!$B$1:$C$1</c:f>
              <c:strCache>
                <c:ptCount val="2"/>
                <c:pt idx="0">
                  <c:v>男</c:v>
                </c:pt>
                <c:pt idx="1">
                  <c:v>女</c:v>
                </c:pt>
              </c:strCache>
            </c:strRef>
          </c:cat>
          <c:val>
            <c:numRef>
              <c:f>Sheet1!$B$2:$C$2</c:f>
              <c:numCache>
                <c:ptCount val="2"/>
                <c:pt idx="0">
                  <c:v>0.466533</c:v>
                </c:pt>
                <c:pt idx="1">
                  <c:v>0.533467</c:v>
                </c:pt>
              </c:numCache>
            </c:numRef>
          </c:val>
        </c:ser>
        <c:firstSliceAng val="0"/>
        <c:holeSize val="75"/>
      </c:doughnutChart>
      <c:spPr>
        <a:noFill/>
        <a:ln w="12700" cap="flat">
          <a:noFill/>
          <a:miter lim="400000"/>
        </a:ln>
        <a:effectLst/>
      </c:spPr>
    </c:plotArea>
    <c:legend>
      <c:legendPos val="b"/>
      <c:layout>
        <c:manualLayout>
          <c:xMode val="edge"/>
          <c:yMode val="edge"/>
          <c:x val="0.257523"/>
          <c:y val="0.926067"/>
          <c:w val="0.484955"/>
          <c:h val="0.073932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收获远高于预期</c:v>
                </c:pt>
                <c:pt idx="1">
                  <c:v>收获高于预期</c:v>
                </c:pt>
                <c:pt idx="2">
                  <c:v>收获低于预期</c:v>
                </c:pt>
                <c:pt idx="3">
                  <c:v>收获远低于预期</c:v>
                </c:pt>
                <c:pt idx="4">
                  <c:v>不清楚</c:v>
                </c:pt>
              </c:strCache>
            </c:strRef>
          </c:cat>
          <c:val>
            <c:numRef>
              <c:f>Sheet1!$B$2:$B$6</c:f>
              <c:numCache>
                <c:ptCount val="5"/>
                <c:pt idx="0">
                  <c:v>0.111111</c:v>
                </c:pt>
                <c:pt idx="1">
                  <c:v>0.338019</c:v>
                </c:pt>
                <c:pt idx="2">
                  <c:v>0.277108</c:v>
                </c:pt>
                <c:pt idx="3">
                  <c:v>0.077644</c:v>
                </c:pt>
                <c:pt idx="4">
                  <c:v>0.196118</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收获远高于预期</c:v>
                </c:pt>
                <c:pt idx="1">
                  <c:v>收获高于预期</c:v>
                </c:pt>
                <c:pt idx="2">
                  <c:v>收获低于预期</c:v>
                </c:pt>
                <c:pt idx="3">
                  <c:v>收获远低于预期</c:v>
                </c:pt>
                <c:pt idx="4">
                  <c:v>不清楚</c:v>
                </c:pt>
              </c:strCache>
            </c:strRef>
          </c:cat>
          <c:val>
            <c:numRef>
              <c:f>Sheet1!$C$2:$C$6</c:f>
              <c:numCache>
                <c:ptCount val="5"/>
                <c:pt idx="0">
                  <c:v>0.126255</c:v>
                </c:pt>
                <c:pt idx="1">
                  <c:v>0.335725</c:v>
                </c:pt>
                <c:pt idx="2">
                  <c:v>0.266858</c:v>
                </c:pt>
                <c:pt idx="3">
                  <c:v>0.074605</c:v>
                </c:pt>
                <c:pt idx="4">
                  <c:v>0.196557</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收获远高于预期</c:v>
                </c:pt>
                <c:pt idx="1">
                  <c:v>收获高于预期</c:v>
                </c:pt>
                <c:pt idx="2">
                  <c:v>收获低于预期</c:v>
                </c:pt>
                <c:pt idx="3">
                  <c:v>收获远低于预期</c:v>
                </c:pt>
                <c:pt idx="4">
                  <c:v>不清楚</c:v>
                </c:pt>
              </c:strCache>
            </c:strRef>
          </c:cat>
          <c:val>
            <c:numRef>
              <c:f>Sheet1!$D$2:$D$6</c:f>
              <c:numCache>
                <c:ptCount val="5"/>
                <c:pt idx="0">
                  <c:v>0.097867</c:v>
                </c:pt>
                <c:pt idx="1">
                  <c:v>0.340025</c:v>
                </c:pt>
                <c:pt idx="2">
                  <c:v>0.286073</c:v>
                </c:pt>
                <c:pt idx="3">
                  <c:v>0.080301</c:v>
                </c:pt>
                <c:pt idx="4">
                  <c:v>0.195734</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
        <c:minorUnit val="0.0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没有实习经验</c:v>
                </c:pt>
                <c:pt idx="1">
                  <c:v>1-3个月</c:v>
                </c:pt>
                <c:pt idx="2">
                  <c:v>4-6个月</c:v>
                </c:pt>
                <c:pt idx="3">
                  <c:v>7-12个月</c:v>
                </c:pt>
                <c:pt idx="4">
                  <c:v>一年以上</c:v>
                </c:pt>
              </c:strCache>
            </c:strRef>
          </c:cat>
          <c:val>
            <c:numRef>
              <c:f>Sheet1!$B$2:$B$6</c:f>
              <c:numCache>
                <c:ptCount val="5"/>
                <c:pt idx="0">
                  <c:v>0.402945</c:v>
                </c:pt>
                <c:pt idx="1">
                  <c:v>0.198126</c:v>
                </c:pt>
                <c:pt idx="2">
                  <c:v>0.127175</c:v>
                </c:pt>
                <c:pt idx="3">
                  <c:v>0.077644</c:v>
                </c:pt>
                <c:pt idx="4">
                  <c:v>0.194110</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没有实习经验</c:v>
                </c:pt>
                <c:pt idx="1">
                  <c:v>1-3个月</c:v>
                </c:pt>
                <c:pt idx="2">
                  <c:v>4-6个月</c:v>
                </c:pt>
                <c:pt idx="3">
                  <c:v>7-12个月</c:v>
                </c:pt>
                <c:pt idx="4">
                  <c:v>一年以上</c:v>
                </c:pt>
              </c:strCache>
            </c:strRef>
          </c:cat>
          <c:val>
            <c:numRef>
              <c:f>Sheet1!$C$2:$C$6</c:f>
              <c:numCache>
                <c:ptCount val="5"/>
                <c:pt idx="0">
                  <c:v>0.360115</c:v>
                </c:pt>
                <c:pt idx="1">
                  <c:v>0.183644</c:v>
                </c:pt>
                <c:pt idx="2">
                  <c:v>0.147776</c:v>
                </c:pt>
                <c:pt idx="3">
                  <c:v>0.088953</c:v>
                </c:pt>
                <c:pt idx="4">
                  <c:v>0.219512</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没有实习经验</c:v>
                </c:pt>
                <c:pt idx="1">
                  <c:v>1-3个月</c:v>
                </c:pt>
                <c:pt idx="2">
                  <c:v>4-6个月</c:v>
                </c:pt>
                <c:pt idx="3">
                  <c:v>7-12个月</c:v>
                </c:pt>
                <c:pt idx="4">
                  <c:v>一年以上</c:v>
                </c:pt>
              </c:strCache>
            </c:strRef>
          </c:cat>
          <c:val>
            <c:numRef>
              <c:f>Sheet1!$D$2:$D$6</c:f>
              <c:numCache>
                <c:ptCount val="5"/>
                <c:pt idx="0">
                  <c:v>0.440402</c:v>
                </c:pt>
                <c:pt idx="1">
                  <c:v>0.210790</c:v>
                </c:pt>
                <c:pt idx="2">
                  <c:v>0.109159</c:v>
                </c:pt>
                <c:pt idx="3">
                  <c:v>0.067754</c:v>
                </c:pt>
                <c:pt idx="4">
                  <c:v>0.171895</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Sheet1!$A$2:$A$7</c:f>
              <c:strCache>
                <c:ptCount val="6"/>
                <c:pt idx="0">
                  <c:v>没有工作经验</c:v>
                </c:pt>
                <c:pt idx="1">
                  <c:v>半年以下</c:v>
                </c:pt>
                <c:pt idx="2">
                  <c:v>半年-1年</c:v>
                </c:pt>
                <c:pt idx="3">
                  <c:v>1-3年以下</c:v>
                </c:pt>
                <c:pt idx="4">
                  <c:v>3-6年</c:v>
                </c:pt>
                <c:pt idx="5">
                  <c:v>6年以上</c:v>
                </c:pt>
              </c:strCache>
            </c:strRef>
          </c:cat>
          <c:val>
            <c:numRef>
              <c:f>Sheet1!$B$2:$B$7</c:f>
              <c:numCache>
                <c:ptCount val="6"/>
                <c:pt idx="0">
                  <c:v>0.303882</c:v>
                </c:pt>
                <c:pt idx="1">
                  <c:v>0.143240</c:v>
                </c:pt>
                <c:pt idx="2">
                  <c:v>0.170683</c:v>
                </c:pt>
                <c:pt idx="3">
                  <c:v>0.230254</c:v>
                </c:pt>
                <c:pt idx="4">
                  <c:v>0.105087</c:v>
                </c:pt>
                <c:pt idx="5">
                  <c:v>0.046854</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没有工作经验</c:v>
                </c:pt>
                <c:pt idx="1">
                  <c:v>半年以下</c:v>
                </c:pt>
                <c:pt idx="2">
                  <c:v>半年-1年</c:v>
                </c:pt>
                <c:pt idx="3">
                  <c:v>1-3年以下</c:v>
                </c:pt>
                <c:pt idx="4">
                  <c:v>3-6年</c:v>
                </c:pt>
                <c:pt idx="5">
                  <c:v>6年以上</c:v>
                </c:pt>
              </c:strCache>
            </c:strRef>
          </c:cat>
          <c:val>
            <c:numRef>
              <c:f>Sheet1!$C$2:$C$7</c:f>
              <c:numCache>
                <c:ptCount val="6"/>
                <c:pt idx="0">
                  <c:v>0.289813</c:v>
                </c:pt>
                <c:pt idx="1">
                  <c:v>0.143472</c:v>
                </c:pt>
                <c:pt idx="2">
                  <c:v>0.182209</c:v>
                </c:pt>
                <c:pt idx="3">
                  <c:v>0.230990</c:v>
                </c:pt>
                <c:pt idx="4">
                  <c:v>0.104735</c:v>
                </c:pt>
                <c:pt idx="5">
                  <c:v>0.048780</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没有工作经验</c:v>
                </c:pt>
                <c:pt idx="1">
                  <c:v>半年以下</c:v>
                </c:pt>
                <c:pt idx="2">
                  <c:v>半年-1年</c:v>
                </c:pt>
                <c:pt idx="3">
                  <c:v>1-3年以下</c:v>
                </c:pt>
                <c:pt idx="4">
                  <c:v>3-6年</c:v>
                </c:pt>
                <c:pt idx="5">
                  <c:v>6年以上</c:v>
                </c:pt>
              </c:strCache>
            </c:strRef>
          </c:cat>
          <c:val>
            <c:numRef>
              <c:f>Sheet1!$D$2:$D$7</c:f>
              <c:numCache>
                <c:ptCount val="6"/>
                <c:pt idx="0">
                  <c:v>0.316186</c:v>
                </c:pt>
                <c:pt idx="1">
                  <c:v>0.143036</c:v>
                </c:pt>
                <c:pt idx="2">
                  <c:v>0.160602</c:v>
                </c:pt>
                <c:pt idx="3">
                  <c:v>0.229611</c:v>
                </c:pt>
                <c:pt idx="4">
                  <c:v>0.105395</c:v>
                </c:pt>
                <c:pt idx="5">
                  <c:v>0.045169</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
        <c:minorUnit val="0.0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50252"/>
          <c:y val="0.0476758"/>
          <c:w val="0.921379"/>
          <c:h val="0.753653"/>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Sheet1!$A$2:$A$4</c:f>
              <c:strCache>
                <c:ptCount val="3"/>
                <c:pt idx="0">
                  <c:v>没有创业经验</c:v>
                </c:pt>
                <c:pt idx="1">
                  <c:v>有创业经验，但没有获得显著
成效或出现经济等方面的损失</c:v>
                </c:pt>
                <c:pt idx="2">
                  <c:v>有创业经验，且创业获得显著成效</c:v>
                </c:pt>
              </c:strCache>
            </c:strRef>
          </c:cat>
          <c:val>
            <c:numRef>
              <c:f>Sheet1!$B$2:$B$4</c:f>
              <c:numCache>
                <c:ptCount val="3"/>
                <c:pt idx="0">
                  <c:v>0.844043</c:v>
                </c:pt>
                <c:pt idx="1">
                  <c:v>0.115127</c:v>
                </c:pt>
                <c:pt idx="2">
                  <c:v>0.040830</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Sheet1!$A$2:$A$4</c:f>
              <c:strCache>
                <c:ptCount val="3"/>
                <c:pt idx="0">
                  <c:v>没有创业经验</c:v>
                </c:pt>
                <c:pt idx="1">
                  <c:v>有创业经验，但没有获得显著
成效或出现经济等方面的损失</c:v>
                </c:pt>
                <c:pt idx="2">
                  <c:v>有创业经验，且创业获得显著成效</c:v>
                </c:pt>
              </c:strCache>
            </c:strRef>
          </c:cat>
          <c:val>
            <c:numRef>
              <c:f>Sheet1!$C$2:$C$4</c:f>
              <c:numCache>
                <c:ptCount val="3"/>
                <c:pt idx="0">
                  <c:v>0.790531</c:v>
                </c:pt>
                <c:pt idx="1">
                  <c:v>0.149211</c:v>
                </c:pt>
                <c:pt idx="2">
                  <c:v>0.060258</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Sheet1!$A$2:$A$4</c:f>
              <c:strCache>
                <c:ptCount val="3"/>
                <c:pt idx="0">
                  <c:v>没有创业经验</c:v>
                </c:pt>
                <c:pt idx="1">
                  <c:v>有创业经验，但没有获得显著
成效或出现经济等方面的损失</c:v>
                </c:pt>
                <c:pt idx="2">
                  <c:v>有创业经验，且创业获得显著成效</c:v>
                </c:pt>
              </c:strCache>
            </c:strRef>
          </c:cat>
          <c:val>
            <c:numRef>
              <c:f>Sheet1!$D$2:$D$4</c:f>
              <c:numCache>
                <c:ptCount val="3"/>
                <c:pt idx="0">
                  <c:v>0.890841</c:v>
                </c:pt>
                <c:pt idx="1">
                  <c:v>0.085320</c:v>
                </c:pt>
                <c:pt idx="2">
                  <c:v>0.023839</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25"/>
        <c:minorUnit val="0.1125"/>
      </c:valAx>
      <c:spPr>
        <a:noFill/>
        <a:ln w="12700" cap="flat">
          <a:noFill/>
          <a:miter lim="400000"/>
        </a:ln>
        <a:effectLst/>
      </c:spPr>
    </c:plotArea>
    <c:legend>
      <c:legendPos val="b"/>
      <c:layout>
        <c:manualLayout>
          <c:xMode val="edge"/>
          <c:yMode val="edge"/>
          <c:x val="0.334001"/>
          <c:y val="0.925522"/>
          <c:w val="0.323644"/>
          <c:h val="0.0744785"/>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Sheet1!$A$2:$A$5</c:f>
              <c:strCache>
                <c:ptCount val="4"/>
                <c:pt idx="0">
                  <c:v>较为常见，要提高防范意识</c:v>
                </c:pt>
                <c:pt idx="1">
                  <c:v>只是个别案例被媒体放大，不值得大惊小怪</c:v>
                </c:pt>
                <c:pt idx="2">
                  <c:v>留学所在国不存在安全问题</c:v>
                </c:pt>
                <c:pt idx="3">
                  <c:v>不清楚</c:v>
                </c:pt>
              </c:strCache>
            </c:strRef>
          </c:cat>
          <c:val>
            <c:numRef>
              <c:f>Sheet1!$B$2:$B$5</c:f>
              <c:numCache>
                <c:ptCount val="4"/>
                <c:pt idx="0">
                  <c:v>0.435074</c:v>
                </c:pt>
                <c:pt idx="1">
                  <c:v>0.396921</c:v>
                </c:pt>
                <c:pt idx="2">
                  <c:v>0.132530</c:v>
                </c:pt>
                <c:pt idx="3">
                  <c:v>0.035475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较为常见，要提高防范意识</c:v>
                </c:pt>
                <c:pt idx="1">
                  <c:v>只是个别案例被媒体放大，不值得大惊小怪</c:v>
                </c:pt>
                <c:pt idx="2">
                  <c:v>留学所在国不存在安全问题</c:v>
                </c:pt>
                <c:pt idx="3">
                  <c:v>不清楚</c:v>
                </c:pt>
              </c:strCache>
            </c:strRef>
          </c:cat>
          <c:val>
            <c:numRef>
              <c:f>Sheet1!$C$2:$C$5</c:f>
              <c:numCache>
                <c:ptCount val="4"/>
                <c:pt idx="0">
                  <c:v>0.426112</c:v>
                </c:pt>
                <c:pt idx="1">
                  <c:v>0.417504</c:v>
                </c:pt>
                <c:pt idx="2">
                  <c:v>0.121951</c:v>
                </c:pt>
                <c:pt idx="3">
                  <c:v>0.034433</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较为常见，要提高防范意识</c:v>
                </c:pt>
                <c:pt idx="1">
                  <c:v>只是个别案例被媒体放大，不值得大惊小怪</c:v>
                </c:pt>
                <c:pt idx="2">
                  <c:v>留学所在国不存在安全问题</c:v>
                </c:pt>
                <c:pt idx="3">
                  <c:v>不清楚</c:v>
                </c:pt>
              </c:strCache>
            </c:strRef>
          </c:cat>
          <c:val>
            <c:numRef>
              <c:f>Sheet1!$D$2:$D$5</c:f>
              <c:numCache>
                <c:ptCount val="4"/>
                <c:pt idx="0">
                  <c:v>0.442911</c:v>
                </c:pt>
                <c:pt idx="1">
                  <c:v>0.378921</c:v>
                </c:pt>
                <c:pt idx="2">
                  <c:v>0.141782</c:v>
                </c:pt>
                <c:pt idx="3">
                  <c:v>0.036386</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796996"/>
          <c:y val="0.0349416"/>
          <c:w val="0.907178"/>
          <c:h val="0.826264"/>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Sheet1!$A$2:$A$7</c:f>
              <c:strCache>
                <c:ptCount val="6"/>
                <c:pt idx="0">
                  <c:v>提高法律意识，了解和遵守当地法律</c:v>
                </c:pt>
                <c:pt idx="1">
                  <c:v>中国大使馆与各个学校中国学生会建
立直接联系，打通留学生寻求帮助的
官方渠道</c:v>
                </c:pt>
                <c:pt idx="2">
                  <c:v>留学国中国大使馆建立中国留学生信息库</c:v>
                </c:pt>
                <c:pt idx="3">
                  <c:v>中国学生会按当地情况制作安全情况
手册， 并在orientation发放</c:v>
                </c:pt>
                <c:pt idx="4">
                  <c:v>政府制作留学安全手册</c:v>
                </c:pt>
                <c:pt idx="5">
                  <c:v>及时寻求心里辅导</c:v>
                </c:pt>
              </c:strCache>
            </c:strRef>
          </c:cat>
          <c:val>
            <c:numRef>
              <c:f>Sheet1!$B$2:$B$7</c:f>
              <c:numCache>
                <c:ptCount val="6"/>
                <c:pt idx="0">
                  <c:v>0.795181</c:v>
                </c:pt>
                <c:pt idx="1">
                  <c:v>0.530120</c:v>
                </c:pt>
                <c:pt idx="2">
                  <c:v>0.487282</c:v>
                </c:pt>
                <c:pt idx="3">
                  <c:v>0.283133</c:v>
                </c:pt>
                <c:pt idx="4">
                  <c:v>0.162651</c:v>
                </c:pt>
                <c:pt idx="5">
                  <c:v>0.130522</c:v>
                </c:pt>
              </c:numCache>
            </c:numRef>
          </c:val>
        </c:ser>
        <c:axId val="2094734552"/>
        <c:axId val="2094734553"/>
      </c:areaChart>
      <c:barChart>
        <c:barDir val="col"/>
        <c:grouping val="clustered"/>
        <c:varyColors val="0"/>
        <c:ser>
          <c:idx val="1"/>
          <c:order val="1"/>
          <c:tx>
            <c:strRef>
              <c:f>Sheet1!$C$1</c:f>
              <c:strCache>
                <c:ptCount val="1"/>
                <c:pt idx="0">
                  <c:v>男性</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提高法律意识，了解和遵守当地法律</c:v>
                </c:pt>
                <c:pt idx="1">
                  <c:v>中国大使馆与各个学校中国学生会建
立直接联系，打通留学生寻求帮助的
官方渠道</c:v>
                </c:pt>
                <c:pt idx="2">
                  <c:v>留学国中国大使馆建立中国留学生信息库</c:v>
                </c:pt>
                <c:pt idx="3">
                  <c:v>中国学生会按当地情况制作安全情况
手册， 并在orientation发放</c:v>
                </c:pt>
                <c:pt idx="4">
                  <c:v>政府制作留学安全手册</c:v>
                </c:pt>
                <c:pt idx="5">
                  <c:v>及时寻求心里辅导</c:v>
                </c:pt>
              </c:strCache>
            </c:strRef>
          </c:cat>
          <c:val>
            <c:numRef>
              <c:f>Sheet1!$C$2:$C$7</c:f>
              <c:numCache>
                <c:ptCount val="6"/>
                <c:pt idx="0">
                  <c:v>0.793400</c:v>
                </c:pt>
                <c:pt idx="1">
                  <c:v>0.510760</c:v>
                </c:pt>
                <c:pt idx="2">
                  <c:v>0.470588</c:v>
                </c:pt>
                <c:pt idx="3">
                  <c:v>0.272597</c:v>
                </c:pt>
                <c:pt idx="4">
                  <c:v>0.163558</c:v>
                </c:pt>
                <c:pt idx="5">
                  <c:v>0.129125</c:v>
                </c:pt>
              </c:numCache>
            </c:numRef>
          </c:val>
        </c:ser>
        <c:ser>
          <c:idx val="2"/>
          <c:order val="2"/>
          <c:tx>
            <c:strRef>
              <c:f>Sheet1!$D$1</c:f>
              <c:strCache>
                <c:ptCount val="1"/>
                <c:pt idx="0">
                  <c:v>女性</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提高法律意识，了解和遵守当地法律</c:v>
                </c:pt>
                <c:pt idx="1">
                  <c:v>中国大使馆与各个学校中国学生会建
立直接联系，打通留学生寻求帮助的
官方渠道</c:v>
                </c:pt>
                <c:pt idx="2">
                  <c:v>留学国中国大使馆建立中国留学生信息库</c:v>
                </c:pt>
                <c:pt idx="3">
                  <c:v>中国学生会按当地情况制作安全情况
手册， 并在orientation发放</c:v>
                </c:pt>
                <c:pt idx="4">
                  <c:v>政府制作留学安全手册</c:v>
                </c:pt>
                <c:pt idx="5">
                  <c:v>及时寻求心里辅导</c:v>
                </c:pt>
              </c:strCache>
            </c:strRef>
          </c:cat>
          <c:val>
            <c:numRef>
              <c:f>Sheet1!$D$2:$D$7</c:f>
              <c:numCache>
                <c:ptCount val="6"/>
                <c:pt idx="0">
                  <c:v>0.796738</c:v>
                </c:pt>
                <c:pt idx="1">
                  <c:v>0.547051</c:v>
                </c:pt>
                <c:pt idx="2">
                  <c:v>0.501882</c:v>
                </c:pt>
                <c:pt idx="3">
                  <c:v>0.292346</c:v>
                </c:pt>
                <c:pt idx="4">
                  <c:v>0.161857</c:v>
                </c:pt>
                <c:pt idx="5">
                  <c:v>0.131744</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
        <c:minorUnit val="0.1"/>
      </c:valAx>
      <c:spPr>
        <a:noFill/>
        <a:ln w="12700" cap="flat">
          <a:noFill/>
          <a:miter lim="400000"/>
        </a:ln>
        <a:effectLst/>
      </c:spPr>
    </c:plotArea>
    <c:legend>
      <c:legendPos val="b"/>
      <c:layout>
        <c:manualLayout>
          <c:xMode val="edge"/>
          <c:yMode val="edge"/>
          <c:x val="0.340366"/>
          <c:y val="0.929304"/>
          <c:w val="0.3557"/>
          <c:h val="0.070424"/>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44141"/>
          <c:y val="0.0348613"/>
          <c:w val="0.922118"/>
          <c:h val="0.43830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Sheet1!$A$2:$A$11</c:f>
              <c:strCache>
                <c:ptCount val="10"/>
                <c:pt idx="0">
                  <c:v>方便与家人、朋友团聚</c:v>
                </c:pt>
                <c:pt idx="1">
                  <c:v>国内经济发展形势较好</c:v>
                </c:pt>
                <c:pt idx="2">
                  <c:v>国外的经济、政治或社会环境不利于
留学生发展，如工作和移民政策等</c:v>
                </c:pt>
                <c:pt idx="3">
                  <c:v>对中国文化和美食的眷恋</c:v>
                </c:pt>
                <c:pt idx="4">
                  <c:v>所学专业在国内具有良好的发展前景</c:v>
                </c:pt>
                <c:pt idx="5">
                  <c:v>在国内具有良好的发展基础</c:v>
                </c:pt>
                <c:pt idx="6">
                  <c:v>具有为国奉献的意愿</c:v>
                </c:pt>
                <c:pt idx="7">
                  <c:v>国内人才政策具有吸引力</c:v>
                </c:pt>
                <c:pt idx="8">
                  <c:v>国内拥有良好的创新创业环境</c:v>
                </c:pt>
                <c:pt idx="9">
                  <c:v>其它</c:v>
                </c:pt>
              </c:strCache>
            </c:strRef>
          </c:cat>
          <c:val>
            <c:numRef>
              <c:f>Sheet1!$B$2:$B$11</c:f>
              <c:numCache>
                <c:ptCount val="10"/>
                <c:pt idx="0">
                  <c:v>0.667336</c:v>
                </c:pt>
                <c:pt idx="1">
                  <c:v>0.404953</c:v>
                </c:pt>
                <c:pt idx="2">
                  <c:v>0.268407</c:v>
                </c:pt>
                <c:pt idx="3">
                  <c:v>0.234940</c:v>
                </c:pt>
                <c:pt idx="4">
                  <c:v>0.143909</c:v>
                </c:pt>
                <c:pt idx="5">
                  <c:v>0.129183</c:v>
                </c:pt>
                <c:pt idx="6">
                  <c:v>0.122490</c:v>
                </c:pt>
                <c:pt idx="7">
                  <c:v>0.116466</c:v>
                </c:pt>
                <c:pt idx="8">
                  <c:v>0.091031</c:v>
                </c:pt>
                <c:pt idx="9">
                  <c:v>0.011379</c:v>
                </c:pt>
              </c:numCache>
            </c:numRef>
          </c:val>
        </c:ser>
        <c:axId val="2094734552"/>
        <c:axId val="2094734553"/>
      </c:areaChart>
      <c:barChart>
        <c:barDir val="col"/>
        <c:grouping val="clustered"/>
        <c:varyColors val="0"/>
        <c:ser>
          <c:idx val="1"/>
          <c:order val="1"/>
          <c:tx>
            <c:strRef>
              <c:f>Sheet1!$C$1</c:f>
              <c:strCache>
                <c:ptCount val="1"/>
                <c:pt idx="0">
                  <c:v>男性</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Sheet1!$A$2:$A$11</c:f>
              <c:strCache>
                <c:ptCount val="10"/>
                <c:pt idx="0">
                  <c:v>方便与家人、朋友团聚</c:v>
                </c:pt>
                <c:pt idx="1">
                  <c:v>国内经济发展形势较好</c:v>
                </c:pt>
                <c:pt idx="2">
                  <c:v>国外的经济、政治或社会环境不利于
留学生发展，如工作和移民政策等</c:v>
                </c:pt>
                <c:pt idx="3">
                  <c:v>对中国文化和美食的眷恋</c:v>
                </c:pt>
                <c:pt idx="4">
                  <c:v>所学专业在国内具有良好的发展前景</c:v>
                </c:pt>
                <c:pt idx="5">
                  <c:v>在国内具有良好的发展基础</c:v>
                </c:pt>
                <c:pt idx="6">
                  <c:v>具有为国奉献的意愿</c:v>
                </c:pt>
                <c:pt idx="7">
                  <c:v>国内人才政策具有吸引力</c:v>
                </c:pt>
                <c:pt idx="8">
                  <c:v>国内拥有良好的创新创业环境</c:v>
                </c:pt>
                <c:pt idx="9">
                  <c:v>其它</c:v>
                </c:pt>
              </c:strCache>
            </c:strRef>
          </c:cat>
          <c:val>
            <c:numRef>
              <c:f>Sheet1!$C$2:$C$11</c:f>
              <c:numCache>
                <c:ptCount val="10"/>
                <c:pt idx="0">
                  <c:v>0.576758</c:v>
                </c:pt>
                <c:pt idx="1">
                  <c:v>0.472023</c:v>
                </c:pt>
                <c:pt idx="2">
                  <c:v>0.238164</c:v>
                </c:pt>
                <c:pt idx="3">
                  <c:v>0.193687</c:v>
                </c:pt>
                <c:pt idx="4">
                  <c:v>0.169297</c:v>
                </c:pt>
                <c:pt idx="5">
                  <c:v>0.120516</c:v>
                </c:pt>
                <c:pt idx="6">
                  <c:v>0.166428</c:v>
                </c:pt>
                <c:pt idx="7">
                  <c:v>0.143472</c:v>
                </c:pt>
                <c:pt idx="8">
                  <c:v>0.104735</c:v>
                </c:pt>
                <c:pt idx="9">
                  <c:v>0.011478</c:v>
                </c:pt>
              </c:numCache>
            </c:numRef>
          </c:val>
        </c:ser>
        <c:ser>
          <c:idx val="2"/>
          <c:order val="2"/>
          <c:tx>
            <c:strRef>
              <c:f>Sheet1!$D$1</c:f>
              <c:strCache>
                <c:ptCount val="1"/>
                <c:pt idx="0">
                  <c:v>女性</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Sheet1!$A$2:$A$11</c:f>
              <c:strCache>
                <c:ptCount val="10"/>
                <c:pt idx="0">
                  <c:v>方便与家人、朋友团聚</c:v>
                </c:pt>
                <c:pt idx="1">
                  <c:v>国内经济发展形势较好</c:v>
                </c:pt>
                <c:pt idx="2">
                  <c:v>国外的经济、政治或社会环境不利于
留学生发展，如工作和移民政策等</c:v>
                </c:pt>
                <c:pt idx="3">
                  <c:v>对中国文化和美食的眷恋</c:v>
                </c:pt>
                <c:pt idx="4">
                  <c:v>所学专业在国内具有良好的发展前景</c:v>
                </c:pt>
                <c:pt idx="5">
                  <c:v>在国内具有良好的发展基础</c:v>
                </c:pt>
                <c:pt idx="6">
                  <c:v>具有为国奉献的意愿</c:v>
                </c:pt>
                <c:pt idx="7">
                  <c:v>国内人才政策具有吸引力</c:v>
                </c:pt>
                <c:pt idx="8">
                  <c:v>国内拥有良好的创新创业环境</c:v>
                </c:pt>
                <c:pt idx="9">
                  <c:v>其它</c:v>
                </c:pt>
              </c:strCache>
            </c:strRef>
          </c:cat>
          <c:val>
            <c:numRef>
              <c:f>Sheet1!$D$2:$D$11</c:f>
              <c:numCache>
                <c:ptCount val="10"/>
                <c:pt idx="0">
                  <c:v>0.746550</c:v>
                </c:pt>
                <c:pt idx="1">
                  <c:v>0.346299</c:v>
                </c:pt>
                <c:pt idx="2">
                  <c:v>0.294856</c:v>
                </c:pt>
                <c:pt idx="3">
                  <c:v>0.271016</c:v>
                </c:pt>
                <c:pt idx="4">
                  <c:v>0.121706</c:v>
                </c:pt>
                <c:pt idx="5">
                  <c:v>0.136763</c:v>
                </c:pt>
                <c:pt idx="6">
                  <c:v>0.084065</c:v>
                </c:pt>
                <c:pt idx="7">
                  <c:v>0.092848</c:v>
                </c:pt>
                <c:pt idx="8">
                  <c:v>0.079046</c:v>
                </c:pt>
                <c:pt idx="9">
                  <c:v>0.011292</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
        <c:minorUnit val="0.1"/>
      </c:valAx>
      <c:spPr>
        <a:noFill/>
        <a:ln w="12700" cap="flat">
          <a:noFill/>
          <a:miter lim="400000"/>
        </a:ln>
        <a:effectLst/>
      </c:spPr>
    </c:plotArea>
    <c:legend>
      <c:legendPos val="b"/>
      <c:layout>
        <c:manualLayout>
          <c:xMode val="edge"/>
          <c:yMode val="edge"/>
          <c:x val="0.322148"/>
          <c:y val="0.94218"/>
          <c:w val="0.32223"/>
          <c:h val="0.0578198"/>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874595"/>
          <c:y val="0.0202926"/>
          <c:w val="0.892831"/>
          <c:h val="0.898111"/>
        </c:manualLayout>
      </c:layout>
      <c:barChart>
        <c:barDir val="bar"/>
        <c:grouping val="stacked"/>
        <c:varyColors val="0"/>
        <c:ser>
          <c:idx val="0"/>
          <c:order val="0"/>
          <c:tx>
            <c:strRef>
              <c:f>Sheet1!$B$1</c:f>
              <c:strCache>
                <c:ptCount val="1"/>
                <c:pt idx="0">
                  <c:v>生源地-男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ctr"/>
            <c:showLegendKey val="0"/>
            <c:showVal val="0"/>
            <c:showCatName val="0"/>
            <c:showSerName val="0"/>
            <c:showPercent val="0"/>
            <c:showBubbleSize val="0"/>
            <c:showLeaderLines val="0"/>
          </c:dLbls>
          <c:cat>
            <c:strRef>
              <c:f>Sheet1!$A$2:$A$34</c:f>
              <c:strCache>
                <c:ptCount val="33"/>
                <c:pt idx="0">
                  <c:v>北京</c:v>
                </c:pt>
                <c:pt idx="1">
                  <c:v>广东</c:v>
                </c:pt>
                <c:pt idx="2">
                  <c:v>山东</c:v>
                </c:pt>
                <c:pt idx="3">
                  <c:v>辽宁</c:v>
                </c:pt>
                <c:pt idx="4">
                  <c:v>江苏</c:v>
                </c:pt>
                <c:pt idx="5">
                  <c:v>河北</c:v>
                </c:pt>
                <c:pt idx="6">
                  <c:v>河南</c:v>
                </c:pt>
                <c:pt idx="7">
                  <c:v>四川</c:v>
                </c:pt>
                <c:pt idx="8">
                  <c:v>湖北</c:v>
                </c:pt>
                <c:pt idx="9">
                  <c:v>天津</c:v>
                </c:pt>
                <c:pt idx="10">
                  <c:v>湖南</c:v>
                </c:pt>
                <c:pt idx="11">
                  <c:v>浙江</c:v>
                </c:pt>
                <c:pt idx="12">
                  <c:v>山西</c:v>
                </c:pt>
                <c:pt idx="13">
                  <c:v>安徽</c:v>
                </c:pt>
                <c:pt idx="14">
                  <c:v>黑龙江</c:v>
                </c:pt>
                <c:pt idx="15">
                  <c:v>陕西</c:v>
                </c:pt>
                <c:pt idx="16">
                  <c:v>上海</c:v>
                </c:pt>
                <c:pt idx="17">
                  <c:v>吉林</c:v>
                </c:pt>
                <c:pt idx="18">
                  <c:v>福建</c:v>
                </c:pt>
                <c:pt idx="19">
                  <c:v>内蒙古</c:v>
                </c:pt>
                <c:pt idx="20">
                  <c:v>云南</c:v>
                </c:pt>
                <c:pt idx="21">
                  <c:v>广西</c:v>
                </c:pt>
                <c:pt idx="22">
                  <c:v>江西</c:v>
                </c:pt>
                <c:pt idx="23">
                  <c:v>甘肃</c:v>
                </c:pt>
                <c:pt idx="24">
                  <c:v>新疆</c:v>
                </c:pt>
                <c:pt idx="25">
                  <c:v>重庆</c:v>
                </c:pt>
                <c:pt idx="26">
                  <c:v>贵州</c:v>
                </c:pt>
                <c:pt idx="27">
                  <c:v>宁夏</c:v>
                </c:pt>
                <c:pt idx="28">
                  <c:v>香港</c:v>
                </c:pt>
                <c:pt idx="29">
                  <c:v>海南</c:v>
                </c:pt>
                <c:pt idx="30">
                  <c:v>台湾</c:v>
                </c:pt>
                <c:pt idx="31">
                  <c:v>青海</c:v>
                </c:pt>
                <c:pt idx="32">
                  <c:v>澳门</c:v>
                </c:pt>
              </c:strCache>
            </c:strRef>
          </c:cat>
          <c:val>
            <c:numRef>
              <c:f>Sheet1!$B$2:$B$34</c:f>
              <c:numCache>
                <c:ptCount val="33"/>
                <c:pt idx="0">
                  <c:v>-0.037483</c:v>
                </c:pt>
                <c:pt idx="1">
                  <c:v>-0.035475</c:v>
                </c:pt>
                <c:pt idx="2">
                  <c:v>-0.044846</c:v>
                </c:pt>
                <c:pt idx="3">
                  <c:v>-0.032129</c:v>
                </c:pt>
                <c:pt idx="4">
                  <c:v>-0.034137</c:v>
                </c:pt>
                <c:pt idx="5">
                  <c:v>-0.027443</c:v>
                </c:pt>
                <c:pt idx="6">
                  <c:v>-0.029451</c:v>
                </c:pt>
                <c:pt idx="7">
                  <c:v>-0.018742</c:v>
                </c:pt>
                <c:pt idx="8">
                  <c:v>-0.016064</c:v>
                </c:pt>
                <c:pt idx="9">
                  <c:v>-0.016064</c:v>
                </c:pt>
                <c:pt idx="10">
                  <c:v>-0.015395</c:v>
                </c:pt>
                <c:pt idx="11">
                  <c:v>-0.010710</c:v>
                </c:pt>
                <c:pt idx="12">
                  <c:v>-0.014726</c:v>
                </c:pt>
                <c:pt idx="13">
                  <c:v>-0.012048</c:v>
                </c:pt>
                <c:pt idx="14">
                  <c:v>-0.016734</c:v>
                </c:pt>
                <c:pt idx="15">
                  <c:v>-0.014056</c:v>
                </c:pt>
                <c:pt idx="16">
                  <c:v>-0.011379</c:v>
                </c:pt>
                <c:pt idx="17">
                  <c:v>-0.008701</c:v>
                </c:pt>
                <c:pt idx="18">
                  <c:v>-0.012718</c:v>
                </c:pt>
                <c:pt idx="19">
                  <c:v>-0.010040</c:v>
                </c:pt>
                <c:pt idx="20">
                  <c:v>-0.008701</c:v>
                </c:pt>
                <c:pt idx="21">
                  <c:v>-0.007363</c:v>
                </c:pt>
                <c:pt idx="22">
                  <c:v>-0.006024</c:v>
                </c:pt>
                <c:pt idx="23">
                  <c:v>-0.006024</c:v>
                </c:pt>
                <c:pt idx="24">
                  <c:v>-0.007363</c:v>
                </c:pt>
                <c:pt idx="25">
                  <c:v>-0.004685</c:v>
                </c:pt>
                <c:pt idx="26">
                  <c:v>-0.002677</c:v>
                </c:pt>
                <c:pt idx="27">
                  <c:v>-0.002008</c:v>
                </c:pt>
                <c:pt idx="28">
                  <c:v>-0.000669</c:v>
                </c:pt>
                <c:pt idx="29">
                  <c:v>-0.000669</c:v>
                </c:pt>
                <c:pt idx="30">
                  <c:v>-0.000669</c:v>
                </c:pt>
                <c:pt idx="31">
                  <c:v>-0.000669</c:v>
                </c:pt>
                <c:pt idx="32">
                  <c:v>-0.000669</c:v>
                </c:pt>
              </c:numCache>
            </c:numRef>
          </c:val>
        </c:ser>
        <c:ser>
          <c:idx val="1"/>
          <c:order val="1"/>
          <c:tx>
            <c:strRef>
              <c:f>Sheet1!$C$1</c:f>
              <c:strCache>
                <c:ptCount val="1"/>
                <c:pt idx="0">
                  <c:v>生源地-女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ctr"/>
            <c:showLegendKey val="0"/>
            <c:showVal val="0"/>
            <c:showCatName val="0"/>
            <c:showSerName val="0"/>
            <c:showPercent val="0"/>
            <c:showBubbleSize val="0"/>
            <c:showLeaderLines val="0"/>
          </c:dLbls>
          <c:cat>
            <c:strRef>
              <c:f>Sheet1!$A$2:$A$34</c:f>
              <c:strCache>
                <c:ptCount val="33"/>
                <c:pt idx="0">
                  <c:v>北京</c:v>
                </c:pt>
                <c:pt idx="1">
                  <c:v>广东</c:v>
                </c:pt>
                <c:pt idx="2">
                  <c:v>山东</c:v>
                </c:pt>
                <c:pt idx="3">
                  <c:v>辽宁</c:v>
                </c:pt>
                <c:pt idx="4">
                  <c:v>江苏</c:v>
                </c:pt>
                <c:pt idx="5">
                  <c:v>河北</c:v>
                </c:pt>
                <c:pt idx="6">
                  <c:v>河南</c:v>
                </c:pt>
                <c:pt idx="7">
                  <c:v>四川</c:v>
                </c:pt>
                <c:pt idx="8">
                  <c:v>湖北</c:v>
                </c:pt>
                <c:pt idx="9">
                  <c:v>天津</c:v>
                </c:pt>
                <c:pt idx="10">
                  <c:v>湖南</c:v>
                </c:pt>
                <c:pt idx="11">
                  <c:v>浙江</c:v>
                </c:pt>
                <c:pt idx="12">
                  <c:v>山西</c:v>
                </c:pt>
                <c:pt idx="13">
                  <c:v>安徽</c:v>
                </c:pt>
                <c:pt idx="14">
                  <c:v>黑龙江</c:v>
                </c:pt>
                <c:pt idx="15">
                  <c:v>陕西</c:v>
                </c:pt>
                <c:pt idx="16">
                  <c:v>上海</c:v>
                </c:pt>
                <c:pt idx="17">
                  <c:v>吉林</c:v>
                </c:pt>
                <c:pt idx="18">
                  <c:v>福建</c:v>
                </c:pt>
                <c:pt idx="19">
                  <c:v>内蒙古</c:v>
                </c:pt>
                <c:pt idx="20">
                  <c:v>云南</c:v>
                </c:pt>
                <c:pt idx="21">
                  <c:v>广西</c:v>
                </c:pt>
                <c:pt idx="22">
                  <c:v>江西</c:v>
                </c:pt>
                <c:pt idx="23">
                  <c:v>甘肃</c:v>
                </c:pt>
                <c:pt idx="24">
                  <c:v>新疆</c:v>
                </c:pt>
                <c:pt idx="25">
                  <c:v>重庆</c:v>
                </c:pt>
                <c:pt idx="26">
                  <c:v>贵州</c:v>
                </c:pt>
                <c:pt idx="27">
                  <c:v>宁夏</c:v>
                </c:pt>
                <c:pt idx="28">
                  <c:v>香港</c:v>
                </c:pt>
                <c:pt idx="29">
                  <c:v>海南</c:v>
                </c:pt>
                <c:pt idx="30">
                  <c:v>台湾</c:v>
                </c:pt>
                <c:pt idx="31">
                  <c:v>青海</c:v>
                </c:pt>
                <c:pt idx="32">
                  <c:v>澳门</c:v>
                </c:pt>
              </c:strCache>
            </c:strRef>
          </c:cat>
          <c:val>
            <c:numRef>
              <c:f>Sheet1!$C$2:$C$34</c:f>
              <c:numCache>
                <c:ptCount val="33"/>
                <c:pt idx="0">
                  <c:v>-0.050870</c:v>
                </c:pt>
                <c:pt idx="1">
                  <c:v>-0.049531</c:v>
                </c:pt>
                <c:pt idx="2">
                  <c:v>-0.034137</c:v>
                </c:pt>
                <c:pt idx="3">
                  <c:v>-0.036145</c:v>
                </c:pt>
                <c:pt idx="4">
                  <c:v>-0.023427</c:v>
                </c:pt>
                <c:pt idx="5">
                  <c:v>-0.026104</c:v>
                </c:pt>
                <c:pt idx="6">
                  <c:v>-0.016734</c:v>
                </c:pt>
                <c:pt idx="7">
                  <c:v>-0.024766</c:v>
                </c:pt>
                <c:pt idx="8">
                  <c:v>-0.021419</c:v>
                </c:pt>
                <c:pt idx="9">
                  <c:v>-0.019411</c:v>
                </c:pt>
                <c:pt idx="10">
                  <c:v>-0.020080</c:v>
                </c:pt>
                <c:pt idx="11">
                  <c:v>-0.025435</c:v>
                </c:pt>
                <c:pt idx="12">
                  <c:v>-0.019411</c:v>
                </c:pt>
                <c:pt idx="13">
                  <c:v>-0.019411</c:v>
                </c:pt>
                <c:pt idx="14">
                  <c:v>-0.013387</c:v>
                </c:pt>
                <c:pt idx="15">
                  <c:v>-0.016064</c:v>
                </c:pt>
                <c:pt idx="16">
                  <c:v>-0.018742</c:v>
                </c:pt>
                <c:pt idx="17">
                  <c:v>-0.019411</c:v>
                </c:pt>
                <c:pt idx="18">
                  <c:v>-0.010710</c:v>
                </c:pt>
                <c:pt idx="19">
                  <c:v>-0.008701</c:v>
                </c:pt>
                <c:pt idx="20">
                  <c:v>-0.010040</c:v>
                </c:pt>
                <c:pt idx="21">
                  <c:v>-0.010710</c:v>
                </c:pt>
                <c:pt idx="22">
                  <c:v>-0.009371</c:v>
                </c:pt>
                <c:pt idx="23">
                  <c:v>-0.008701</c:v>
                </c:pt>
                <c:pt idx="24">
                  <c:v>-0.005355</c:v>
                </c:pt>
                <c:pt idx="25">
                  <c:v>-0.006024</c:v>
                </c:pt>
                <c:pt idx="26">
                  <c:v>-0.004016</c:v>
                </c:pt>
                <c:pt idx="27">
                  <c:v>-0.003347</c:v>
                </c:pt>
                <c:pt idx="28">
                  <c:v>-0.001339</c:v>
                </c:pt>
                <c:pt idx="29">
                  <c:v>-0.000669</c:v>
                </c:pt>
                <c:pt idx="30">
                  <c:v>0.000000</c:v>
                </c:pt>
                <c:pt idx="31">
                  <c:v>0.000000</c:v>
                </c:pt>
                <c:pt idx="32">
                  <c:v>0.000000</c:v>
                </c:pt>
              </c:numCache>
            </c:numRef>
          </c:val>
        </c:ser>
        <c:ser>
          <c:idx val="2"/>
          <c:order val="2"/>
          <c:tx>
            <c:strRef>
              <c:f>Sheet1!$D$1</c:f>
              <c:strCache>
                <c:ptCount val="1"/>
                <c:pt idx="0">
                  <c:v>现住地-男</c:v>
                </c:pt>
              </c:strCache>
            </c:strRef>
          </c:tx>
          <c:spPr>
            <a:solidFill>
              <a:srgbClr val="1F4E79"/>
            </a:soli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ctr"/>
            <c:showLegendKey val="0"/>
            <c:showVal val="0"/>
            <c:showCatName val="0"/>
            <c:showSerName val="0"/>
            <c:showPercent val="0"/>
            <c:showBubbleSize val="0"/>
            <c:showLeaderLines val="0"/>
          </c:dLbls>
          <c:cat>
            <c:strRef>
              <c:f>Sheet1!$A$2:$A$34</c:f>
              <c:strCache>
                <c:ptCount val="33"/>
                <c:pt idx="0">
                  <c:v>北京</c:v>
                </c:pt>
                <c:pt idx="1">
                  <c:v>广东</c:v>
                </c:pt>
                <c:pt idx="2">
                  <c:v>山东</c:v>
                </c:pt>
                <c:pt idx="3">
                  <c:v>辽宁</c:v>
                </c:pt>
                <c:pt idx="4">
                  <c:v>江苏</c:v>
                </c:pt>
                <c:pt idx="5">
                  <c:v>河北</c:v>
                </c:pt>
                <c:pt idx="6">
                  <c:v>河南</c:v>
                </c:pt>
                <c:pt idx="7">
                  <c:v>四川</c:v>
                </c:pt>
                <c:pt idx="8">
                  <c:v>湖北</c:v>
                </c:pt>
                <c:pt idx="9">
                  <c:v>天津</c:v>
                </c:pt>
                <c:pt idx="10">
                  <c:v>湖南</c:v>
                </c:pt>
                <c:pt idx="11">
                  <c:v>浙江</c:v>
                </c:pt>
                <c:pt idx="12">
                  <c:v>山西</c:v>
                </c:pt>
                <c:pt idx="13">
                  <c:v>安徽</c:v>
                </c:pt>
                <c:pt idx="14">
                  <c:v>黑龙江</c:v>
                </c:pt>
                <c:pt idx="15">
                  <c:v>陕西</c:v>
                </c:pt>
                <c:pt idx="16">
                  <c:v>上海</c:v>
                </c:pt>
                <c:pt idx="17">
                  <c:v>吉林</c:v>
                </c:pt>
                <c:pt idx="18">
                  <c:v>福建</c:v>
                </c:pt>
                <c:pt idx="19">
                  <c:v>内蒙古</c:v>
                </c:pt>
                <c:pt idx="20">
                  <c:v>云南</c:v>
                </c:pt>
                <c:pt idx="21">
                  <c:v>广西</c:v>
                </c:pt>
                <c:pt idx="22">
                  <c:v>江西</c:v>
                </c:pt>
                <c:pt idx="23">
                  <c:v>甘肃</c:v>
                </c:pt>
                <c:pt idx="24">
                  <c:v>新疆</c:v>
                </c:pt>
                <c:pt idx="25">
                  <c:v>重庆</c:v>
                </c:pt>
                <c:pt idx="26">
                  <c:v>贵州</c:v>
                </c:pt>
                <c:pt idx="27">
                  <c:v>宁夏</c:v>
                </c:pt>
                <c:pt idx="28">
                  <c:v>香港</c:v>
                </c:pt>
                <c:pt idx="29">
                  <c:v>海南</c:v>
                </c:pt>
                <c:pt idx="30">
                  <c:v>台湾</c:v>
                </c:pt>
                <c:pt idx="31">
                  <c:v>青海</c:v>
                </c:pt>
                <c:pt idx="32">
                  <c:v>澳门</c:v>
                </c:pt>
              </c:strCache>
            </c:strRef>
          </c:cat>
          <c:val>
            <c:numRef>
              <c:f>Sheet1!$D$2:$D$34</c:f>
              <c:numCache>
                <c:ptCount val="33"/>
                <c:pt idx="0">
                  <c:v>0.090361</c:v>
                </c:pt>
                <c:pt idx="1">
                  <c:v>0.062249</c:v>
                </c:pt>
                <c:pt idx="2">
                  <c:v>0.031459</c:v>
                </c:pt>
                <c:pt idx="3">
                  <c:v>0.019411</c:v>
                </c:pt>
                <c:pt idx="4">
                  <c:v>0.036814</c:v>
                </c:pt>
                <c:pt idx="5">
                  <c:v>0.014056</c:v>
                </c:pt>
                <c:pt idx="6">
                  <c:v>0.012718</c:v>
                </c:pt>
                <c:pt idx="7">
                  <c:v>0.022088</c:v>
                </c:pt>
                <c:pt idx="8">
                  <c:v>0.009371</c:v>
                </c:pt>
                <c:pt idx="9">
                  <c:v>0.014726</c:v>
                </c:pt>
                <c:pt idx="10">
                  <c:v>0.010040</c:v>
                </c:pt>
                <c:pt idx="11">
                  <c:v>0.017403</c:v>
                </c:pt>
                <c:pt idx="12">
                  <c:v>0.008032</c:v>
                </c:pt>
                <c:pt idx="13">
                  <c:v>0.008032</c:v>
                </c:pt>
                <c:pt idx="14">
                  <c:v>0.004685</c:v>
                </c:pt>
                <c:pt idx="15">
                  <c:v>0.015395</c:v>
                </c:pt>
                <c:pt idx="16">
                  <c:v>0.043507</c:v>
                </c:pt>
                <c:pt idx="17">
                  <c:v>0.002008</c:v>
                </c:pt>
                <c:pt idx="18">
                  <c:v>0.009371</c:v>
                </c:pt>
                <c:pt idx="19">
                  <c:v>0.003347</c:v>
                </c:pt>
                <c:pt idx="20">
                  <c:v>0.007363</c:v>
                </c:pt>
                <c:pt idx="21">
                  <c:v>0.003347</c:v>
                </c:pt>
                <c:pt idx="22">
                  <c:v>0.004016</c:v>
                </c:pt>
                <c:pt idx="23">
                  <c:v>0.003347</c:v>
                </c:pt>
                <c:pt idx="24">
                  <c:v>0.002677</c:v>
                </c:pt>
                <c:pt idx="25">
                  <c:v>0.005355</c:v>
                </c:pt>
                <c:pt idx="26">
                  <c:v>0.002008</c:v>
                </c:pt>
                <c:pt idx="27">
                  <c:v>0.000669</c:v>
                </c:pt>
                <c:pt idx="28">
                  <c:v>0.000669</c:v>
                </c:pt>
                <c:pt idx="29">
                  <c:v>0.001339</c:v>
                </c:pt>
                <c:pt idx="30">
                  <c:v>0.000000</c:v>
                </c:pt>
                <c:pt idx="31">
                  <c:v>0.000000</c:v>
                </c:pt>
                <c:pt idx="32">
                  <c:v>0.000669</c:v>
                </c:pt>
              </c:numCache>
            </c:numRef>
          </c:val>
        </c:ser>
        <c:ser>
          <c:idx val="3"/>
          <c:order val="3"/>
          <c:tx>
            <c:strRef>
              <c:f>Sheet1!$E$1</c:f>
              <c:strCache>
                <c:ptCount val="1"/>
                <c:pt idx="0">
                  <c:v>现住地-女</c:v>
                </c:pt>
              </c:strCache>
            </c:strRef>
          </c:tx>
          <c:spPr>
            <a:solidFill>
              <a:srgbClr val="C55A11"/>
            </a:soli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ctr"/>
            <c:showLegendKey val="0"/>
            <c:showVal val="0"/>
            <c:showCatName val="0"/>
            <c:showSerName val="0"/>
            <c:showPercent val="0"/>
            <c:showBubbleSize val="0"/>
            <c:showLeaderLines val="0"/>
          </c:dLbls>
          <c:cat>
            <c:strRef>
              <c:f>Sheet1!$A$2:$A$34</c:f>
              <c:strCache>
                <c:ptCount val="33"/>
                <c:pt idx="0">
                  <c:v>北京</c:v>
                </c:pt>
                <c:pt idx="1">
                  <c:v>广东</c:v>
                </c:pt>
                <c:pt idx="2">
                  <c:v>山东</c:v>
                </c:pt>
                <c:pt idx="3">
                  <c:v>辽宁</c:v>
                </c:pt>
                <c:pt idx="4">
                  <c:v>江苏</c:v>
                </c:pt>
                <c:pt idx="5">
                  <c:v>河北</c:v>
                </c:pt>
                <c:pt idx="6">
                  <c:v>河南</c:v>
                </c:pt>
                <c:pt idx="7">
                  <c:v>四川</c:v>
                </c:pt>
                <c:pt idx="8">
                  <c:v>湖北</c:v>
                </c:pt>
                <c:pt idx="9">
                  <c:v>天津</c:v>
                </c:pt>
                <c:pt idx="10">
                  <c:v>湖南</c:v>
                </c:pt>
                <c:pt idx="11">
                  <c:v>浙江</c:v>
                </c:pt>
                <c:pt idx="12">
                  <c:v>山西</c:v>
                </c:pt>
                <c:pt idx="13">
                  <c:v>安徽</c:v>
                </c:pt>
                <c:pt idx="14">
                  <c:v>黑龙江</c:v>
                </c:pt>
                <c:pt idx="15">
                  <c:v>陕西</c:v>
                </c:pt>
                <c:pt idx="16">
                  <c:v>上海</c:v>
                </c:pt>
                <c:pt idx="17">
                  <c:v>吉林</c:v>
                </c:pt>
                <c:pt idx="18">
                  <c:v>福建</c:v>
                </c:pt>
                <c:pt idx="19">
                  <c:v>内蒙古</c:v>
                </c:pt>
                <c:pt idx="20">
                  <c:v>云南</c:v>
                </c:pt>
                <c:pt idx="21">
                  <c:v>广西</c:v>
                </c:pt>
                <c:pt idx="22">
                  <c:v>江西</c:v>
                </c:pt>
                <c:pt idx="23">
                  <c:v>甘肃</c:v>
                </c:pt>
                <c:pt idx="24">
                  <c:v>新疆</c:v>
                </c:pt>
                <c:pt idx="25">
                  <c:v>重庆</c:v>
                </c:pt>
                <c:pt idx="26">
                  <c:v>贵州</c:v>
                </c:pt>
                <c:pt idx="27">
                  <c:v>宁夏</c:v>
                </c:pt>
                <c:pt idx="28">
                  <c:v>香港</c:v>
                </c:pt>
                <c:pt idx="29">
                  <c:v>海南</c:v>
                </c:pt>
                <c:pt idx="30">
                  <c:v>台湾</c:v>
                </c:pt>
                <c:pt idx="31">
                  <c:v>青海</c:v>
                </c:pt>
                <c:pt idx="32">
                  <c:v>澳门</c:v>
                </c:pt>
              </c:strCache>
            </c:strRef>
          </c:cat>
          <c:val>
            <c:numRef>
              <c:f>Sheet1!$E$2:$E$34</c:f>
              <c:numCache>
                <c:ptCount val="33"/>
                <c:pt idx="0">
                  <c:v>0.122490</c:v>
                </c:pt>
                <c:pt idx="1">
                  <c:v>0.083668</c:v>
                </c:pt>
                <c:pt idx="2">
                  <c:v>0.029451</c:v>
                </c:pt>
                <c:pt idx="3">
                  <c:v>0.031459</c:v>
                </c:pt>
                <c:pt idx="4">
                  <c:v>0.020080</c:v>
                </c:pt>
                <c:pt idx="5">
                  <c:v>0.013387</c:v>
                </c:pt>
                <c:pt idx="6">
                  <c:v>0.006693</c:v>
                </c:pt>
                <c:pt idx="7">
                  <c:v>0.027443</c:v>
                </c:pt>
                <c:pt idx="8">
                  <c:v>0.014056</c:v>
                </c:pt>
                <c:pt idx="9">
                  <c:v>0.016064</c:v>
                </c:pt>
                <c:pt idx="10">
                  <c:v>0.008701</c:v>
                </c:pt>
                <c:pt idx="11">
                  <c:v>0.022088</c:v>
                </c:pt>
                <c:pt idx="12">
                  <c:v>0.005355</c:v>
                </c:pt>
                <c:pt idx="13">
                  <c:v>0.006693</c:v>
                </c:pt>
                <c:pt idx="14">
                  <c:v>0.000669</c:v>
                </c:pt>
                <c:pt idx="15">
                  <c:v>0.012048</c:v>
                </c:pt>
                <c:pt idx="16">
                  <c:v>0.070281</c:v>
                </c:pt>
                <c:pt idx="17">
                  <c:v>0.007363</c:v>
                </c:pt>
                <c:pt idx="18">
                  <c:v>0.009371</c:v>
                </c:pt>
                <c:pt idx="19">
                  <c:v>0.002677</c:v>
                </c:pt>
                <c:pt idx="20">
                  <c:v>0.007363</c:v>
                </c:pt>
                <c:pt idx="21">
                  <c:v>0.002677</c:v>
                </c:pt>
                <c:pt idx="22">
                  <c:v>0.002677</c:v>
                </c:pt>
                <c:pt idx="23">
                  <c:v>0.003347</c:v>
                </c:pt>
                <c:pt idx="24">
                  <c:v>0.000000</c:v>
                </c:pt>
                <c:pt idx="25">
                  <c:v>0.003347</c:v>
                </c:pt>
                <c:pt idx="26">
                  <c:v>0.002677</c:v>
                </c:pt>
                <c:pt idx="27">
                  <c:v>0.000669</c:v>
                </c:pt>
                <c:pt idx="28">
                  <c:v>0.000000</c:v>
                </c:pt>
                <c:pt idx="29">
                  <c:v>0.000669</c:v>
                </c:pt>
                <c:pt idx="30">
                  <c:v>0.000000</c:v>
                </c:pt>
                <c:pt idx="31">
                  <c:v>0.000000</c:v>
                </c:pt>
                <c:pt idx="32">
                  <c:v>0.000000</c:v>
                </c:pt>
              </c:numCache>
            </c:numRef>
          </c:val>
        </c:ser>
        <c:gapWidth val="100"/>
        <c:overlap val="100"/>
        <c:axId val="2094734552"/>
        <c:axId val="2094734553"/>
      </c:barChart>
      <c:catAx>
        <c:axId val="2094734552"/>
        <c:scaling>
          <c:orientation val="maxMin"/>
        </c:scaling>
        <c:delete val="0"/>
        <c:axPos val="l"/>
        <c:numFmt formatCode="General" sourceLinked="0"/>
        <c:majorTickMark val="none"/>
        <c:minorTickMark val="none"/>
        <c:tickLblPos val="nextTo"/>
        <c:spPr>
          <a:ln w="12700" cap="flat">
            <a:solidFill>
              <a:srgbClr val="D9D9D9"/>
            </a:solidFill>
            <a:prstDash val="solid"/>
            <a:round/>
          </a:ln>
        </c:spPr>
        <c:txPr>
          <a:bodyPr rot="0"/>
          <a:lstStyle/>
          <a:p>
            <a:pPr>
              <a:defRPr b="0" i="0" strike="noStrike" sz="800" u="none">
                <a:solidFill>
                  <a:srgbClr val="595959"/>
                </a:solidFill>
                <a:latin typeface="Calibri"/>
              </a:defRPr>
            </a:pPr>
          </a:p>
        </c:txPr>
        <c:crossAx val="2094734553"/>
        <c:crosses val="autoZero"/>
        <c:auto val="1"/>
        <c:lblAlgn val="ctr"/>
        <c:noMultiLvlLbl val="1"/>
      </c:catAx>
      <c:valAx>
        <c:axId val="2094734553"/>
        <c:scaling>
          <c:orientation val="minMax"/>
          <c:min val="-0.1"/>
        </c:scaling>
        <c:delete val="0"/>
        <c:axPos val="b"/>
        <c:numFmt formatCode="#0%;#0%" sourceLinked="0"/>
        <c:majorTickMark val="none"/>
        <c:minorTickMark val="none"/>
        <c:tickLblPos val="high"/>
        <c:spPr>
          <a:ln w="12700" cap="flat">
            <a:noFill/>
            <a:prstDash val="solid"/>
            <a:round/>
          </a:ln>
        </c:spPr>
        <c:txPr>
          <a:bodyPr rot="0"/>
          <a:lstStyle/>
          <a:p>
            <a:pPr>
              <a:defRPr b="0" i="0" strike="noStrike" sz="900" u="none">
                <a:solidFill>
                  <a:srgbClr val="595959"/>
                </a:solidFill>
                <a:latin typeface="Calibri"/>
              </a:defRPr>
            </a:pPr>
          </a:p>
        </c:txPr>
        <c:crossAx val="2094734552"/>
        <c:crosses val="min"/>
        <c:crossBetween val="between"/>
        <c:majorUnit val="0.1"/>
        <c:minorUnit val="0.05"/>
      </c:valAx>
      <c:spPr>
        <a:noFill/>
        <a:ln w="12700" cap="flat">
          <a:noFill/>
          <a:miter lim="400000"/>
        </a:ln>
        <a:effectLst/>
      </c:spPr>
    </c:plotArea>
    <c:legend>
      <c:legendPos val="b"/>
      <c:layout>
        <c:manualLayout>
          <c:xMode val="edge"/>
          <c:yMode val="edge"/>
          <c:x val="0.154586"/>
          <c:y val="0.96112"/>
          <c:w val="0.707795"/>
          <c:h val="0.0388804"/>
        </c:manualLayout>
      </c:layout>
      <c:overlay val="1"/>
      <c:spPr>
        <a:noFill/>
        <a:ln w="12700" cap="flat">
          <a:noFill/>
          <a:miter lim="400000"/>
        </a:ln>
        <a:effectLst/>
      </c:spPr>
      <c:txPr>
        <a:bodyPr rot="0"/>
        <a:lstStyle/>
        <a:p>
          <a:pPr>
            <a:defRPr b="0" i="0" strike="noStrike" sz="900" u="none">
              <a:solidFill>
                <a:srgbClr val="595959"/>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215506"/>
          <c:y val="0.215506"/>
          <c:w val="0.568988"/>
          <c:h val="0.556488"/>
        </c:manualLayout>
      </c:layout>
      <c:doughnutChart>
        <c:varyColors val="0"/>
        <c:ser>
          <c:idx val="0"/>
          <c:order val="0"/>
          <c:tx>
            <c:strRef>
              <c:f>Sheet1!$A$2</c:f>
              <c:strCache>
                <c:ptCount val="1"/>
                <c:pt idx="0">
                  <c:v>汇总</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Pt>
            <c:idx val="11"/>
            <c:explosion val="0"/>
            <c:spPr>
              <a:gradFill flip="none" rotWithShape="1">
                <a:gsLst>
                  <a:gs pos="0">
                    <a:srgbClr val="5E7A50"/>
                  </a:gs>
                  <a:gs pos="50000">
                    <a:srgbClr val="436B28"/>
                  </a:gs>
                  <a:gs pos="100000">
                    <a:srgbClr val="3A6120"/>
                  </a:gs>
                </a:gsLst>
                <a:lin ang="5400000" scaled="0"/>
              </a:gradFill>
              <a:ln w="12700" cap="flat">
                <a:noFill/>
                <a:miter lim="400000"/>
              </a:ln>
              <a:effectLst/>
            </c:spPr>
          </c:dPt>
          <c:dPt>
            <c:idx val="12"/>
            <c:explosion val="0"/>
            <c:spPr>
              <a:gradFill flip="none" rotWithShape="1">
                <a:gsLst>
                  <a:gs pos="0">
                    <a:srgbClr val="8CB8E2"/>
                  </a:gs>
                  <a:gs pos="50000">
                    <a:srgbClr val="77AFE2"/>
                  </a:gs>
                  <a:gs pos="100000">
                    <a:srgbClr val="639BCE"/>
                  </a:gs>
                </a:gsLst>
                <a:lin ang="5400000" scaled="0"/>
              </a:gradFill>
              <a:ln w="12700" cap="flat">
                <a:noFill/>
                <a:miter lim="400000"/>
              </a:ln>
              <a:effectLst/>
            </c:spPr>
          </c:dPt>
          <c:dPt>
            <c:idx val="13"/>
            <c:explosion val="0"/>
            <c:spPr>
              <a:gradFill flip="none" rotWithShape="1">
                <a:gsLst>
                  <a:gs pos="0">
                    <a:srgbClr val="F4A370"/>
                  </a:gs>
                  <a:gs pos="50000">
                    <a:srgbClr val="F89653"/>
                  </a:gs>
                  <a:gs pos="100000">
                    <a:srgbClr val="E48341"/>
                  </a:gs>
                </a:gsLst>
                <a:lin ang="5400000" scaled="0"/>
              </a:gradFill>
              <a:ln w="12700" cap="flat">
                <a:noFill/>
                <a:miter lim="400000"/>
              </a:ln>
              <a:effectLst/>
            </c:spPr>
          </c:dPt>
          <c:dPt>
            <c:idx val="14"/>
            <c:explosion val="0"/>
            <c:spPr>
              <a:gradFill flip="none" rotWithShape="1">
                <a:gsLst>
                  <a:gs pos="0">
                    <a:srgbClr val="C0C0C0"/>
                  </a:gs>
                  <a:gs pos="50000">
                    <a:srgbClr val="B7B7B7"/>
                  </a:gs>
                  <a:gs pos="100000">
                    <a:srgbClr val="A2A2A2"/>
                  </a:gs>
                </a:gsLst>
                <a:lin ang="5400000" scaled="0"/>
              </a:gradFill>
              <a:ln w="12700" cap="flat">
                <a:noFill/>
                <a:miter lim="400000"/>
              </a:ln>
              <a:effectLst/>
            </c:spPr>
          </c:dPt>
          <c:dPt>
            <c:idx val="15"/>
            <c:explosion val="0"/>
            <c:spPr>
              <a:gradFill flip="none" rotWithShape="1">
                <a:gsLst>
                  <a:gs pos="0">
                    <a:srgbClr val="FFD157"/>
                  </a:gs>
                  <a:gs pos="50000">
                    <a:srgbClr val="FFCD33"/>
                  </a:gs>
                  <a:gs pos="100000">
                    <a:srgbClr val="E4B62B"/>
                  </a:gs>
                </a:gsLst>
                <a:lin ang="5400000" scaled="0"/>
              </a:gradFill>
              <a:ln w="12700" cap="flat">
                <a:noFill/>
                <a:miter lim="400000"/>
              </a:ln>
              <a:effectLst/>
            </c:spPr>
          </c:dPt>
          <c:dPt>
            <c:idx val="16"/>
            <c:explosion val="0"/>
            <c:spPr>
              <a:gradFill flip="none" rotWithShape="1">
                <a:gsLst>
                  <a:gs pos="0">
                    <a:srgbClr val="7C9BD6"/>
                  </a:gs>
                  <a:gs pos="50000">
                    <a:srgbClr val="648DD5"/>
                  </a:gs>
                  <a:gs pos="100000">
                    <a:srgbClr val="537BC2"/>
                  </a:gs>
                </a:gsLst>
                <a:lin ang="5400000" scaled="0"/>
              </a:gradFill>
              <a:ln w="12700" cap="flat">
                <a:noFill/>
                <a:miter lim="400000"/>
              </a:ln>
              <a:effectLst/>
            </c:spPr>
          </c:dPt>
          <c:dPt>
            <c:idx val="17"/>
            <c:explosion val="0"/>
            <c:spPr>
              <a:gradFill flip="none" rotWithShape="1">
                <a:gsLst>
                  <a:gs pos="0">
                    <a:srgbClr val="98C87A"/>
                  </a:gs>
                  <a:gs pos="50000">
                    <a:srgbClr val="8BC664"/>
                  </a:gs>
                  <a:gs pos="100000">
                    <a:srgbClr val="7AB453"/>
                  </a:gs>
                </a:gsLst>
                <a:lin ang="5400000" scaled="0"/>
              </a:gradFill>
              <a:ln w="12700" cap="flat">
                <a:noFill/>
                <a:miter lim="400000"/>
              </a:ln>
              <a:effectLst/>
            </c:spPr>
          </c:dPt>
          <c:dPt>
            <c:idx val="18"/>
            <c:explosion val="0"/>
            <c:spPr>
              <a:gradFill flip="none" rotWithShape="1">
                <a:gsLst>
                  <a:gs pos="0">
                    <a:srgbClr val="538CCC"/>
                  </a:gs>
                  <a:gs pos="50000">
                    <a:srgbClr val="2A7DC9"/>
                  </a:gs>
                  <a:gs pos="100000">
                    <a:srgbClr val="1F6FB8"/>
                  </a:gs>
                </a:gsLst>
                <a:lin ang="5400000" scaled="0"/>
              </a:gradFill>
              <a:ln w="12700" cap="flat">
                <a:noFill/>
                <a:miter lim="400000"/>
              </a:ln>
              <a:effectLst/>
            </c:spPr>
          </c:dPt>
          <c:dPt>
            <c:idx val="19"/>
            <c:explosion val="0"/>
            <c:spPr>
              <a:gradFill flip="none" rotWithShape="1">
                <a:gsLst>
                  <a:gs pos="0">
                    <a:srgbClr val="DC7348"/>
                  </a:gs>
                  <a:gs pos="50000">
                    <a:srgbClr val="DC5E09"/>
                  </a:gs>
                  <a:gs pos="100000">
                    <a:srgbClr val="CA5200"/>
                  </a:gs>
                </a:gsLst>
                <a:lin ang="5400000" scaled="0"/>
              </a:gradFill>
              <a:ln w="12700" cap="flat">
                <a:noFill/>
                <a:miter lim="400000"/>
              </a:ln>
              <a:effectLst/>
            </c:spPr>
          </c:dPt>
          <c:dPt>
            <c:idx val="20"/>
            <c:explosion val="0"/>
            <c:spPr>
              <a:gradFill flip="none" rotWithShape="1">
                <a:gsLst>
                  <a:gs pos="0">
                    <a:srgbClr val="919191"/>
                  </a:gs>
                  <a:gs pos="50000">
                    <a:schemeClr val="accent3">
                      <a:lumOff val="-12941"/>
                    </a:schemeClr>
                  </a:gs>
                  <a:gs pos="100000">
                    <a:srgbClr val="757575"/>
                  </a:gs>
                </a:gsLst>
                <a:lin ang="5400000" scaled="0"/>
              </a:gradFill>
              <a:ln w="12700" cap="flat">
                <a:noFill/>
                <a:miter lim="400000"/>
              </a:ln>
              <a:effectLst/>
            </c:spPr>
          </c:dPt>
          <c:dPt>
            <c:idx val="21"/>
            <c:explosion val="0"/>
            <c:spPr>
              <a:gradFill flip="none" rotWithShape="1">
                <a:gsLst>
                  <a:gs pos="0">
                    <a:srgbClr val="D3A547"/>
                  </a:gs>
                  <a:gs pos="50000">
                    <a:schemeClr val="accent4">
                      <a:lumOff val="-9999"/>
                    </a:schemeClr>
                  </a:gs>
                  <a:gs pos="100000">
                    <a:srgbClr val="B48800"/>
                  </a:gs>
                </a:gsLst>
                <a:lin ang="5400000" scaled="0"/>
              </a:gradFill>
              <a:ln w="12700" cap="flat">
                <a:noFill/>
                <a:miter lim="400000"/>
              </a:ln>
              <a:effectLst/>
            </c:spPr>
          </c:dPt>
          <c:dPt>
            <c:idx val="22"/>
            <c:explosion val="0"/>
            <c:spPr>
              <a:gradFill flip="none" rotWithShape="1">
                <a:gsLst>
                  <a:gs pos="0">
                    <a:srgbClr val="546EAC"/>
                  </a:gs>
                  <a:gs pos="50000">
                    <a:srgbClr val="2D59A6"/>
                  </a:gs>
                  <a:gs pos="100000">
                    <a:srgbClr val="234D98"/>
                  </a:gs>
                </a:gsLst>
                <a:lin ang="5400000" scaled="0"/>
              </a:gradFill>
              <a:ln w="12700" cap="flat">
                <a:noFill/>
                <a:miter lim="400000"/>
              </a:ln>
              <a:effectLst/>
            </c:spPr>
          </c:dPt>
          <c:dPt>
            <c:idx val="23"/>
            <c:explosion val="0"/>
            <c:spPr>
              <a:gradFill flip="none" rotWithShape="1">
                <a:gsLst>
                  <a:gs pos="0">
                    <a:srgbClr val="6E9857"/>
                  </a:gs>
                  <a:gs pos="50000">
                    <a:srgbClr val="598E35"/>
                  </a:gs>
                  <a:gs pos="100000">
                    <a:srgbClr val="4E822B"/>
                  </a:gs>
                </a:gsLst>
                <a:lin ang="5400000" scaled="0"/>
              </a:gradFill>
              <a:ln w="12700" cap="flat">
                <a:noFill/>
                <a:miter lim="400000"/>
              </a:ln>
              <a:effectLst/>
            </c:spPr>
          </c:dPt>
          <c:dPt>
            <c:idx val="24"/>
            <c:explosion val="0"/>
            <c:spPr>
              <a:gradFill flip="none" rotWithShape="1">
                <a:gsLst>
                  <a:gs pos="0">
                    <a:srgbClr val="A9CBEA"/>
                  </a:gs>
                  <a:gs pos="50000">
                    <a:srgbClr val="99C3E9"/>
                  </a:gs>
                  <a:gs pos="100000">
                    <a:srgbClr val="82ADD3"/>
                  </a:gs>
                </a:gsLst>
                <a:lin ang="5400000" scaled="0"/>
              </a:gradFill>
              <a:ln w="12700" cap="flat">
                <a:noFill/>
                <a:miter lim="400000"/>
              </a:ln>
              <a:effectLst/>
            </c:spPr>
          </c:dPt>
          <c:dLbls>
            <c:dLbl>
              <c:idx val="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8"/>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9"/>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0"/>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1"/>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2"/>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3"/>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4"/>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5"/>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6"/>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7"/>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8"/>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19"/>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0"/>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1"/>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2"/>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3"/>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4"/>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showLeaderLines val="1"/>
            <c:leaderLines>
              <c:spPr>
                <a:noFill/>
                <a:ln w="9525" cap="flat">
                  <a:solidFill>
                    <a:srgbClr val="B7C2D1"/>
                  </a:solidFill>
                  <a:prstDash val="solid"/>
                  <a:round/>
                </a:ln>
                <a:effectLst/>
              </c:spPr>
            </c:leaderLines>
          </c:dLbls>
          <c:cat>
            <c:strRef>
              <c:f>Sheet1!$B$1:$Z$1</c:f>
              <c:strCache>
                <c:ptCount val="25"/>
                <c:pt idx="0">
                  <c:v>未迁移</c:v>
                </c:pt>
                <c:pt idx="1">
                  <c:v>北京</c:v>
                </c:pt>
                <c:pt idx="2">
                  <c:v>上海</c:v>
                </c:pt>
                <c:pt idx="3">
                  <c:v>广东</c:v>
                </c:pt>
                <c:pt idx="4">
                  <c:v>浙江</c:v>
                </c:pt>
                <c:pt idx="5">
                  <c:v>江苏</c:v>
                </c:pt>
                <c:pt idx="6">
                  <c:v>四川</c:v>
                </c:pt>
                <c:pt idx="7">
                  <c:v>陕西</c:v>
                </c:pt>
                <c:pt idx="8">
                  <c:v>山东</c:v>
                </c:pt>
                <c:pt idx="9">
                  <c:v>辽宁</c:v>
                </c:pt>
                <c:pt idx="10">
                  <c:v>天津</c:v>
                </c:pt>
                <c:pt idx="11">
                  <c:v>河北</c:v>
                </c:pt>
                <c:pt idx="12">
                  <c:v>湖北</c:v>
                </c:pt>
                <c:pt idx="13">
                  <c:v>福建</c:v>
                </c:pt>
                <c:pt idx="14">
                  <c:v>内蒙古</c:v>
                </c:pt>
                <c:pt idx="15">
                  <c:v>河南</c:v>
                </c:pt>
                <c:pt idx="16">
                  <c:v>湖南</c:v>
                </c:pt>
                <c:pt idx="17">
                  <c:v>重庆</c:v>
                </c:pt>
                <c:pt idx="18">
                  <c:v>山西</c:v>
                </c:pt>
                <c:pt idx="19">
                  <c:v>广西</c:v>
                </c:pt>
                <c:pt idx="20">
                  <c:v>贵州</c:v>
                </c:pt>
                <c:pt idx="21">
                  <c:v>安徽</c:v>
                </c:pt>
                <c:pt idx="22">
                  <c:v>海南</c:v>
                </c:pt>
                <c:pt idx="23">
                  <c:v>吉林</c:v>
                </c:pt>
                <c:pt idx="24">
                  <c:v>云南</c:v>
                </c:pt>
              </c:strCache>
            </c:strRef>
          </c:cat>
          <c:val>
            <c:numRef>
              <c:f>Sheet1!$B$2:$Z$2</c:f>
              <c:numCache>
                <c:ptCount val="25"/>
                <c:pt idx="0">
                  <c:v>0.607764</c:v>
                </c:pt>
                <c:pt idx="1">
                  <c:v>0.133199</c:v>
                </c:pt>
                <c:pt idx="2">
                  <c:v>0.084337</c:v>
                </c:pt>
                <c:pt idx="3">
                  <c:v>0.069612</c:v>
                </c:pt>
                <c:pt idx="4">
                  <c:v>0.014726</c:v>
                </c:pt>
                <c:pt idx="5">
                  <c:v>0.014726</c:v>
                </c:pt>
                <c:pt idx="6">
                  <c:v>0.012718</c:v>
                </c:pt>
                <c:pt idx="7">
                  <c:v>0.010040</c:v>
                </c:pt>
                <c:pt idx="8">
                  <c:v>0.009371</c:v>
                </c:pt>
                <c:pt idx="9">
                  <c:v>0.008032</c:v>
                </c:pt>
                <c:pt idx="10">
                  <c:v>0.006693</c:v>
                </c:pt>
                <c:pt idx="11">
                  <c:v>0.005355</c:v>
                </c:pt>
                <c:pt idx="12">
                  <c:v>0.005355</c:v>
                </c:pt>
                <c:pt idx="13">
                  <c:v>0.003347</c:v>
                </c:pt>
                <c:pt idx="14">
                  <c:v>0.002008</c:v>
                </c:pt>
                <c:pt idx="15">
                  <c:v>0.002008</c:v>
                </c:pt>
                <c:pt idx="16">
                  <c:v>0.002008</c:v>
                </c:pt>
                <c:pt idx="17">
                  <c:v>0.002008</c:v>
                </c:pt>
                <c:pt idx="18">
                  <c:v>0.002008</c:v>
                </c:pt>
                <c:pt idx="19">
                  <c:v>0.001339</c:v>
                </c:pt>
                <c:pt idx="20">
                  <c:v>0.000669</c:v>
                </c:pt>
                <c:pt idx="21">
                  <c:v>0.000669</c:v>
                </c:pt>
                <c:pt idx="22">
                  <c:v>0.000669</c:v>
                </c:pt>
                <c:pt idx="23">
                  <c:v>0.000669</c:v>
                </c:pt>
                <c:pt idx="24">
                  <c:v>0.000669</c:v>
                </c:pt>
              </c:numCache>
            </c:numRef>
          </c:val>
        </c:ser>
        <c:firstSliceAng val="0"/>
        <c:holeSize val="50"/>
      </c:doughnutChart>
      <c:spPr>
        <a:noFill/>
        <a:ln w="12700" cap="flat">
          <a:noFill/>
          <a:miter lim="400000"/>
        </a:ln>
        <a:effectLst/>
      </c:spPr>
    </c:plotArea>
    <c:plotVisOnly val="1"/>
    <c:dispBlanksAs val="gap"/>
  </c:chart>
  <c:spPr>
    <a:solidFill>
      <a:srgbClr val="C0EBC7"/>
    </a:solidFill>
    <a:ln>
      <a:noFill/>
    </a:ln>
    <a:effectLst/>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99083"/>
          <c:y val="0.199083"/>
          <c:w val="0.601835"/>
          <c:h val="0.589335"/>
        </c:manualLayout>
      </c:layout>
      <c:doughnutChart>
        <c:varyColors val="0"/>
        <c:ser>
          <c:idx val="0"/>
          <c:order val="0"/>
          <c:tx>
            <c:strRef>
              <c:f>Sheet1!$A$2</c:f>
              <c:strCache>
                <c:ptCount val="1"/>
                <c:pt idx="0">
                  <c:v>汇总</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Pt>
            <c:idx val="11"/>
            <c:explosion val="0"/>
            <c:spPr>
              <a:gradFill flip="none" rotWithShape="1">
                <a:gsLst>
                  <a:gs pos="0">
                    <a:srgbClr val="5E7A50"/>
                  </a:gs>
                  <a:gs pos="50000">
                    <a:srgbClr val="436B28"/>
                  </a:gs>
                  <a:gs pos="100000">
                    <a:srgbClr val="3A6120"/>
                  </a:gs>
                </a:gsLst>
                <a:lin ang="5400000" scaled="0"/>
              </a:gradFill>
              <a:ln w="12700" cap="flat">
                <a:noFill/>
                <a:miter lim="400000"/>
              </a:ln>
              <a:effectLst/>
            </c:spPr>
          </c:dPt>
          <c:dPt>
            <c:idx val="12"/>
            <c:explosion val="0"/>
            <c:spPr>
              <a:gradFill flip="none" rotWithShape="1">
                <a:gsLst>
                  <a:gs pos="0">
                    <a:srgbClr val="8CB8E2"/>
                  </a:gs>
                  <a:gs pos="50000">
                    <a:srgbClr val="77AFE2"/>
                  </a:gs>
                  <a:gs pos="100000">
                    <a:srgbClr val="639BCE"/>
                  </a:gs>
                </a:gsLst>
                <a:lin ang="5400000" scaled="0"/>
              </a:gradFill>
              <a:ln w="12700" cap="flat">
                <a:noFill/>
                <a:miter lim="400000"/>
              </a:ln>
              <a:effectLst/>
            </c:spPr>
          </c:dPt>
          <c:dPt>
            <c:idx val="13"/>
            <c:explosion val="0"/>
            <c:spPr>
              <a:gradFill flip="none" rotWithShape="1">
                <a:gsLst>
                  <a:gs pos="0">
                    <a:srgbClr val="F4A370"/>
                  </a:gs>
                  <a:gs pos="50000">
                    <a:srgbClr val="F89653"/>
                  </a:gs>
                  <a:gs pos="100000">
                    <a:srgbClr val="E48341"/>
                  </a:gs>
                </a:gsLst>
                <a:lin ang="5400000" scaled="0"/>
              </a:gradFill>
              <a:ln w="12700" cap="flat">
                <a:noFill/>
                <a:miter lim="400000"/>
              </a:ln>
              <a:effectLst/>
            </c:spPr>
          </c:dPt>
          <c:dPt>
            <c:idx val="14"/>
            <c:explosion val="0"/>
            <c:spPr>
              <a:gradFill flip="none" rotWithShape="1">
                <a:gsLst>
                  <a:gs pos="0">
                    <a:srgbClr val="C0C0C0"/>
                  </a:gs>
                  <a:gs pos="50000">
                    <a:srgbClr val="B7B7B7"/>
                  </a:gs>
                  <a:gs pos="100000">
                    <a:srgbClr val="A2A2A2"/>
                  </a:gs>
                </a:gsLst>
                <a:lin ang="5400000" scaled="0"/>
              </a:gradFill>
              <a:ln w="12700" cap="flat">
                <a:noFill/>
                <a:miter lim="400000"/>
              </a:ln>
              <a:effectLst/>
            </c:spPr>
          </c:dPt>
          <c:dPt>
            <c:idx val="15"/>
            <c:explosion val="0"/>
            <c:spPr>
              <a:gradFill flip="none" rotWithShape="1">
                <a:gsLst>
                  <a:gs pos="0">
                    <a:srgbClr val="FFD157"/>
                  </a:gs>
                  <a:gs pos="50000">
                    <a:srgbClr val="FFCD33"/>
                  </a:gs>
                  <a:gs pos="100000">
                    <a:srgbClr val="E4B62B"/>
                  </a:gs>
                </a:gsLst>
                <a:lin ang="5400000" scaled="0"/>
              </a:gradFill>
              <a:ln w="12700" cap="flat">
                <a:noFill/>
                <a:miter lim="400000"/>
              </a:ln>
              <a:effectLst/>
            </c:spPr>
          </c:dPt>
          <c:dPt>
            <c:idx val="16"/>
            <c:explosion val="0"/>
            <c:spPr>
              <a:gradFill flip="none" rotWithShape="1">
                <a:gsLst>
                  <a:gs pos="0">
                    <a:srgbClr val="7C9BD6"/>
                  </a:gs>
                  <a:gs pos="50000">
                    <a:srgbClr val="648DD5"/>
                  </a:gs>
                  <a:gs pos="100000">
                    <a:srgbClr val="537BC2"/>
                  </a:gs>
                </a:gsLst>
                <a:lin ang="5400000" scaled="0"/>
              </a:gradFill>
              <a:ln w="12700" cap="flat">
                <a:noFill/>
                <a:miter lim="400000"/>
              </a:ln>
              <a:effectLst/>
            </c:spPr>
          </c:dPt>
          <c:dPt>
            <c:idx val="17"/>
            <c:explosion val="0"/>
            <c:spPr>
              <a:gradFill flip="none" rotWithShape="1">
                <a:gsLst>
                  <a:gs pos="0">
                    <a:srgbClr val="98C87A"/>
                  </a:gs>
                  <a:gs pos="50000">
                    <a:srgbClr val="8BC664"/>
                  </a:gs>
                  <a:gs pos="100000">
                    <a:srgbClr val="7AB453"/>
                  </a:gs>
                </a:gsLst>
                <a:lin ang="5400000" scaled="0"/>
              </a:gradFill>
              <a:ln w="12700" cap="flat">
                <a:noFill/>
                <a:miter lim="400000"/>
              </a:ln>
              <a:effectLst/>
            </c:spPr>
          </c:dPt>
          <c:dPt>
            <c:idx val="18"/>
            <c:explosion val="0"/>
            <c:spPr>
              <a:gradFill flip="none" rotWithShape="1">
                <a:gsLst>
                  <a:gs pos="0">
                    <a:srgbClr val="538CCC"/>
                  </a:gs>
                  <a:gs pos="50000">
                    <a:srgbClr val="2A7DC9"/>
                  </a:gs>
                  <a:gs pos="100000">
                    <a:srgbClr val="1F6FB8"/>
                  </a:gs>
                </a:gsLst>
                <a:lin ang="5400000" scaled="0"/>
              </a:gradFill>
              <a:ln w="12700" cap="flat">
                <a:noFill/>
                <a:miter lim="400000"/>
              </a:ln>
              <a:effectLst/>
            </c:spPr>
          </c:dPt>
          <c:dPt>
            <c:idx val="19"/>
            <c:explosion val="0"/>
            <c:spPr>
              <a:gradFill flip="none" rotWithShape="1">
                <a:gsLst>
                  <a:gs pos="0">
                    <a:srgbClr val="DC7348"/>
                  </a:gs>
                  <a:gs pos="50000">
                    <a:srgbClr val="DC5E09"/>
                  </a:gs>
                  <a:gs pos="100000">
                    <a:srgbClr val="CA5200"/>
                  </a:gs>
                </a:gsLst>
                <a:lin ang="5400000" scaled="0"/>
              </a:gradFill>
              <a:ln w="12700" cap="flat">
                <a:noFill/>
                <a:miter lim="400000"/>
              </a:ln>
              <a:effectLst/>
            </c:spPr>
          </c:dPt>
          <c:dPt>
            <c:idx val="20"/>
            <c:explosion val="0"/>
            <c:spPr>
              <a:gradFill flip="none" rotWithShape="1">
                <a:gsLst>
                  <a:gs pos="0">
                    <a:srgbClr val="919191"/>
                  </a:gs>
                  <a:gs pos="50000">
                    <a:schemeClr val="accent3">
                      <a:lumOff val="-12941"/>
                    </a:schemeClr>
                  </a:gs>
                  <a:gs pos="100000">
                    <a:srgbClr val="757575"/>
                  </a:gs>
                </a:gsLst>
                <a:lin ang="5400000" scaled="0"/>
              </a:gradFill>
              <a:ln w="12700" cap="flat">
                <a:noFill/>
                <a:miter lim="400000"/>
              </a:ln>
              <a:effectLst/>
            </c:spPr>
          </c:dPt>
          <c:dPt>
            <c:idx val="21"/>
            <c:explosion val="0"/>
            <c:spPr>
              <a:gradFill flip="none" rotWithShape="1">
                <a:gsLst>
                  <a:gs pos="0">
                    <a:srgbClr val="D3A547"/>
                  </a:gs>
                  <a:gs pos="50000">
                    <a:schemeClr val="accent4">
                      <a:lumOff val="-9999"/>
                    </a:schemeClr>
                  </a:gs>
                  <a:gs pos="100000">
                    <a:srgbClr val="B48800"/>
                  </a:gs>
                </a:gsLst>
                <a:lin ang="5400000" scaled="0"/>
              </a:gradFill>
              <a:ln w="12700" cap="flat">
                <a:noFill/>
                <a:miter lim="400000"/>
              </a:ln>
              <a:effectLst/>
            </c:spPr>
          </c:dPt>
          <c:dPt>
            <c:idx val="22"/>
            <c:explosion val="0"/>
            <c:spPr>
              <a:gradFill flip="none" rotWithShape="1">
                <a:gsLst>
                  <a:gs pos="0">
                    <a:srgbClr val="546EAC"/>
                  </a:gs>
                  <a:gs pos="50000">
                    <a:srgbClr val="2D59A6"/>
                  </a:gs>
                  <a:gs pos="100000">
                    <a:srgbClr val="234D98"/>
                  </a:gs>
                </a:gsLst>
                <a:lin ang="5400000" scaled="0"/>
              </a:gradFill>
              <a:ln w="12700" cap="flat">
                <a:noFill/>
                <a:miter lim="400000"/>
              </a:ln>
              <a:effectLst/>
            </c:spPr>
          </c:dPt>
          <c:dPt>
            <c:idx val="23"/>
            <c:explosion val="0"/>
            <c:spPr>
              <a:gradFill flip="none" rotWithShape="1">
                <a:gsLst>
                  <a:gs pos="0">
                    <a:srgbClr val="6E9857"/>
                  </a:gs>
                  <a:gs pos="50000">
                    <a:srgbClr val="598E35"/>
                  </a:gs>
                  <a:gs pos="100000">
                    <a:srgbClr val="4E822B"/>
                  </a:gs>
                </a:gsLst>
                <a:lin ang="5400000" scaled="0"/>
              </a:gradFill>
              <a:ln w="12700" cap="flat">
                <a:noFill/>
                <a:miter lim="400000"/>
              </a:ln>
              <a:effectLst/>
            </c:spPr>
          </c:dPt>
          <c:dPt>
            <c:idx val="24"/>
            <c:explosion val="0"/>
            <c:spPr>
              <a:gradFill flip="none" rotWithShape="1">
                <a:gsLst>
                  <a:gs pos="0">
                    <a:srgbClr val="A9CBEA"/>
                  </a:gs>
                  <a:gs pos="50000">
                    <a:srgbClr val="99C3E9"/>
                  </a:gs>
                  <a:gs pos="100000">
                    <a:srgbClr val="82ADD3"/>
                  </a:gs>
                </a:gsLst>
                <a:lin ang="5400000" scaled="0"/>
              </a:gradFill>
              <a:ln w="12700" cap="flat">
                <a:noFill/>
                <a:miter lim="400000"/>
              </a:ln>
              <a:effectLst/>
            </c:spPr>
          </c:dPt>
          <c:dLbls>
            <c:dLbl>
              <c:idx val="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8"/>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9"/>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8"/>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9"/>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2"/>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3"/>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4"/>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showLeaderLines val="1"/>
            <c:leaderLines>
              <c:spPr>
                <a:noFill/>
                <a:ln w="9525" cap="flat">
                  <a:solidFill>
                    <a:srgbClr val="B7C2D1"/>
                  </a:solidFill>
                  <a:prstDash val="solid"/>
                  <a:round/>
                </a:ln>
                <a:effectLst/>
              </c:spPr>
            </c:leaderLines>
          </c:dLbls>
          <c:cat>
            <c:strRef>
              <c:f>Sheet1!$B$1:$Z$1</c:f>
              <c:strCache>
                <c:ptCount val="25"/>
                <c:pt idx="0">
                  <c:v>河北</c:v>
                </c:pt>
                <c:pt idx="1">
                  <c:v>山东</c:v>
                </c:pt>
                <c:pt idx="2">
                  <c:v>山西</c:v>
                </c:pt>
                <c:pt idx="3">
                  <c:v>辽宁</c:v>
                </c:pt>
                <c:pt idx="4">
                  <c:v>河南</c:v>
                </c:pt>
                <c:pt idx="5">
                  <c:v>天津</c:v>
                </c:pt>
                <c:pt idx="6">
                  <c:v>吉林</c:v>
                </c:pt>
                <c:pt idx="7">
                  <c:v>陕西</c:v>
                </c:pt>
                <c:pt idx="8">
                  <c:v>湖北</c:v>
                </c:pt>
                <c:pt idx="9">
                  <c:v>内蒙古</c:v>
                </c:pt>
                <c:pt idx="10">
                  <c:v>黑龙江</c:v>
                </c:pt>
                <c:pt idx="11">
                  <c:v>四川</c:v>
                </c:pt>
                <c:pt idx="12">
                  <c:v>安徽</c:v>
                </c:pt>
                <c:pt idx="13">
                  <c:v>浙江</c:v>
                </c:pt>
                <c:pt idx="14">
                  <c:v>重庆</c:v>
                </c:pt>
                <c:pt idx="15">
                  <c:v>广东</c:v>
                </c:pt>
                <c:pt idx="16">
                  <c:v>广西</c:v>
                </c:pt>
                <c:pt idx="17">
                  <c:v>甘肃</c:v>
                </c:pt>
                <c:pt idx="18">
                  <c:v>湖南</c:v>
                </c:pt>
                <c:pt idx="19">
                  <c:v>新疆</c:v>
                </c:pt>
                <c:pt idx="20">
                  <c:v>宁夏</c:v>
                </c:pt>
                <c:pt idx="21">
                  <c:v>江苏</c:v>
                </c:pt>
                <c:pt idx="22">
                  <c:v>江西</c:v>
                </c:pt>
                <c:pt idx="23">
                  <c:v>贵州</c:v>
                </c:pt>
                <c:pt idx="24">
                  <c:v>台湾</c:v>
                </c:pt>
              </c:strCache>
            </c:strRef>
          </c:cat>
          <c:val>
            <c:numRef>
              <c:f>Sheet1!$B$2:$Z$2</c:f>
              <c:numCache>
                <c:ptCount val="25"/>
                <c:pt idx="0">
                  <c:v>0.170854</c:v>
                </c:pt>
                <c:pt idx="1">
                  <c:v>0.105528</c:v>
                </c:pt>
                <c:pt idx="2">
                  <c:v>0.090452</c:v>
                </c:pt>
                <c:pt idx="3">
                  <c:v>0.080402</c:v>
                </c:pt>
                <c:pt idx="4">
                  <c:v>0.080402</c:v>
                </c:pt>
                <c:pt idx="5">
                  <c:v>0.050251</c:v>
                </c:pt>
                <c:pt idx="6">
                  <c:v>0.045226</c:v>
                </c:pt>
                <c:pt idx="7">
                  <c:v>0.040201</c:v>
                </c:pt>
                <c:pt idx="8">
                  <c:v>0.040201</c:v>
                </c:pt>
                <c:pt idx="9">
                  <c:v>0.040201</c:v>
                </c:pt>
                <c:pt idx="10">
                  <c:v>0.035176</c:v>
                </c:pt>
                <c:pt idx="11">
                  <c:v>0.030151</c:v>
                </c:pt>
                <c:pt idx="12">
                  <c:v>0.025126</c:v>
                </c:pt>
                <c:pt idx="13">
                  <c:v>0.025126</c:v>
                </c:pt>
                <c:pt idx="14">
                  <c:v>0.020101</c:v>
                </c:pt>
                <c:pt idx="15">
                  <c:v>0.015075</c:v>
                </c:pt>
                <c:pt idx="16">
                  <c:v>0.015075</c:v>
                </c:pt>
                <c:pt idx="17">
                  <c:v>0.015075</c:v>
                </c:pt>
                <c:pt idx="18">
                  <c:v>0.015075</c:v>
                </c:pt>
                <c:pt idx="19">
                  <c:v>0.010050</c:v>
                </c:pt>
                <c:pt idx="20">
                  <c:v>0.010050</c:v>
                </c:pt>
                <c:pt idx="21">
                  <c:v>0.010050</c:v>
                </c:pt>
                <c:pt idx="22">
                  <c:v>0.010050</c:v>
                </c:pt>
                <c:pt idx="23">
                  <c:v>0.005025</c:v>
                </c:pt>
                <c:pt idx="24">
                  <c:v>0.005025</c:v>
                </c:pt>
              </c:numCache>
            </c:numRef>
          </c:val>
        </c:ser>
        <c:firstSliceAng val="0"/>
        <c:holeSize val="50"/>
      </c:doughnutChart>
      <c:spPr>
        <a:noFill/>
        <a:ln w="12700" cap="flat">
          <a:noFill/>
          <a:miter lim="400000"/>
        </a:ln>
        <a:effectLst/>
      </c:spPr>
    </c:plotArea>
    <c:plotVisOnly val="1"/>
    <c:dispBlanksAs val="gap"/>
  </c:chart>
  <c:spPr>
    <a:solidFill>
      <a:srgbClr val="C0EBC7"/>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Sheet1!$A$2:$A$10</c:f>
              <c:strCache>
                <c:ptCount val="9"/>
                <c:pt idx="0">
                  <c:v>40后</c:v>
                </c:pt>
                <c:pt idx="1">
                  <c:v>50后</c:v>
                </c:pt>
                <c:pt idx="2">
                  <c:v>60后</c:v>
                </c:pt>
                <c:pt idx="3">
                  <c:v>70后</c:v>
                </c:pt>
                <c:pt idx="4">
                  <c:v>80后</c:v>
                </c:pt>
                <c:pt idx="5">
                  <c:v>85后</c:v>
                </c:pt>
                <c:pt idx="6">
                  <c:v>90后</c:v>
                </c:pt>
                <c:pt idx="7">
                  <c:v>95后</c:v>
                </c:pt>
                <c:pt idx="8">
                  <c:v>00后</c:v>
                </c:pt>
              </c:strCache>
            </c:strRef>
          </c:cat>
          <c:val>
            <c:numRef>
              <c:f>Sheet1!$B$2:$B$10</c:f>
              <c:numCache>
                <c:ptCount val="9"/>
                <c:pt idx="0">
                  <c:v>0.004016</c:v>
                </c:pt>
                <c:pt idx="1">
                  <c:v>0.003347</c:v>
                </c:pt>
                <c:pt idx="2">
                  <c:v>0.002677</c:v>
                </c:pt>
                <c:pt idx="3">
                  <c:v>0.016734</c:v>
                </c:pt>
                <c:pt idx="4">
                  <c:v>0.070281</c:v>
                </c:pt>
                <c:pt idx="5">
                  <c:v>0.282463</c:v>
                </c:pt>
                <c:pt idx="6">
                  <c:v>0.546185</c:v>
                </c:pt>
                <c:pt idx="7">
                  <c:v>0.073628</c:v>
                </c:pt>
                <c:pt idx="8">
                  <c:v>0.000669</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40后</c:v>
                </c:pt>
                <c:pt idx="1">
                  <c:v>50后</c:v>
                </c:pt>
                <c:pt idx="2">
                  <c:v>60后</c:v>
                </c:pt>
                <c:pt idx="3">
                  <c:v>70后</c:v>
                </c:pt>
                <c:pt idx="4">
                  <c:v>80后</c:v>
                </c:pt>
                <c:pt idx="5">
                  <c:v>85后</c:v>
                </c:pt>
                <c:pt idx="6">
                  <c:v>90后</c:v>
                </c:pt>
                <c:pt idx="7">
                  <c:v>95后</c:v>
                </c:pt>
                <c:pt idx="8">
                  <c:v>00后</c:v>
                </c:pt>
              </c:strCache>
            </c:strRef>
          </c:cat>
          <c:val>
            <c:numRef>
              <c:f>Sheet1!$C$2:$C$10</c:f>
              <c:numCache>
                <c:ptCount val="9"/>
                <c:pt idx="0">
                  <c:v>0.005739</c:v>
                </c:pt>
                <c:pt idx="1">
                  <c:v>0.005739</c:v>
                </c:pt>
                <c:pt idx="2">
                  <c:v>0.004304</c:v>
                </c:pt>
                <c:pt idx="3">
                  <c:v>0.020086</c:v>
                </c:pt>
                <c:pt idx="4">
                  <c:v>0.078910</c:v>
                </c:pt>
                <c:pt idx="5">
                  <c:v>0.294118</c:v>
                </c:pt>
                <c:pt idx="6">
                  <c:v>0.526542</c:v>
                </c:pt>
                <c:pt idx="7">
                  <c:v>0.063128</c:v>
                </c:pt>
                <c:pt idx="8">
                  <c:v>0.001435</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40后</c:v>
                </c:pt>
                <c:pt idx="1">
                  <c:v>50后</c:v>
                </c:pt>
                <c:pt idx="2">
                  <c:v>60后</c:v>
                </c:pt>
                <c:pt idx="3">
                  <c:v>70后</c:v>
                </c:pt>
                <c:pt idx="4">
                  <c:v>80后</c:v>
                </c:pt>
                <c:pt idx="5">
                  <c:v>85后</c:v>
                </c:pt>
                <c:pt idx="6">
                  <c:v>90后</c:v>
                </c:pt>
                <c:pt idx="7">
                  <c:v>95后</c:v>
                </c:pt>
                <c:pt idx="8">
                  <c:v>00后</c:v>
                </c:pt>
              </c:strCache>
            </c:strRef>
          </c:cat>
          <c:val>
            <c:numRef>
              <c:f>Sheet1!$D$2:$D$10</c:f>
              <c:numCache>
                <c:ptCount val="9"/>
                <c:pt idx="0">
                  <c:v>0.002509</c:v>
                </c:pt>
                <c:pt idx="1">
                  <c:v>0.001255</c:v>
                </c:pt>
                <c:pt idx="2">
                  <c:v>0.001255</c:v>
                </c:pt>
                <c:pt idx="3">
                  <c:v>0.013802</c:v>
                </c:pt>
                <c:pt idx="4">
                  <c:v>0.062735</c:v>
                </c:pt>
                <c:pt idx="5">
                  <c:v>0.272271</c:v>
                </c:pt>
                <c:pt idx="6">
                  <c:v>0.563363</c:v>
                </c:pt>
                <c:pt idx="7">
                  <c:v>0.082811</c:v>
                </c:pt>
                <c:pt idx="8">
                  <c:v>0.000000</c:v>
                </c:pt>
              </c:numCache>
            </c:numRef>
          </c:val>
        </c:ser>
        <c:gapWidth val="219"/>
        <c:overlap val="-27"/>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94144"/>
          <c:y val="0.194144"/>
          <c:w val="0.611712"/>
          <c:h val="0.599212"/>
        </c:manualLayout>
      </c:layout>
      <c:doughnutChart>
        <c:varyColors val="0"/>
        <c:ser>
          <c:idx val="0"/>
          <c:order val="0"/>
          <c:tx>
            <c:strRef>
              <c:f>Sheet1!$A$2</c:f>
              <c:strCache>
                <c:ptCount val="1"/>
                <c:pt idx="0">
                  <c:v>汇总</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Pt>
            <c:idx val="11"/>
            <c:explosion val="0"/>
            <c:spPr>
              <a:gradFill flip="none" rotWithShape="1">
                <a:gsLst>
                  <a:gs pos="0">
                    <a:srgbClr val="5E7A50"/>
                  </a:gs>
                  <a:gs pos="50000">
                    <a:srgbClr val="436B28"/>
                  </a:gs>
                  <a:gs pos="100000">
                    <a:srgbClr val="3A6120"/>
                  </a:gs>
                </a:gsLst>
                <a:lin ang="5400000" scaled="0"/>
              </a:gradFill>
              <a:ln w="12700" cap="flat">
                <a:noFill/>
                <a:miter lim="400000"/>
              </a:ln>
              <a:effectLst/>
            </c:spPr>
          </c:dPt>
          <c:dPt>
            <c:idx val="12"/>
            <c:explosion val="0"/>
            <c:spPr>
              <a:gradFill flip="none" rotWithShape="1">
                <a:gsLst>
                  <a:gs pos="0">
                    <a:srgbClr val="8CB8E2"/>
                  </a:gs>
                  <a:gs pos="50000">
                    <a:srgbClr val="77AFE2"/>
                  </a:gs>
                  <a:gs pos="100000">
                    <a:srgbClr val="639BCE"/>
                  </a:gs>
                </a:gsLst>
                <a:lin ang="5400000" scaled="0"/>
              </a:gradFill>
              <a:ln w="12700" cap="flat">
                <a:noFill/>
                <a:miter lim="400000"/>
              </a:ln>
              <a:effectLst/>
            </c:spPr>
          </c:dPt>
          <c:dPt>
            <c:idx val="13"/>
            <c:explosion val="0"/>
            <c:spPr>
              <a:gradFill flip="none" rotWithShape="1">
                <a:gsLst>
                  <a:gs pos="0">
                    <a:srgbClr val="F4A370"/>
                  </a:gs>
                  <a:gs pos="50000">
                    <a:srgbClr val="F89653"/>
                  </a:gs>
                  <a:gs pos="100000">
                    <a:srgbClr val="E48341"/>
                  </a:gs>
                </a:gsLst>
                <a:lin ang="5400000" scaled="0"/>
              </a:gradFill>
              <a:ln w="12700" cap="flat">
                <a:noFill/>
                <a:miter lim="400000"/>
              </a:ln>
              <a:effectLst/>
            </c:spPr>
          </c:dPt>
          <c:dPt>
            <c:idx val="14"/>
            <c:explosion val="0"/>
            <c:spPr>
              <a:gradFill flip="none" rotWithShape="1">
                <a:gsLst>
                  <a:gs pos="0">
                    <a:srgbClr val="C0C0C0"/>
                  </a:gs>
                  <a:gs pos="50000">
                    <a:srgbClr val="B7B7B7"/>
                  </a:gs>
                  <a:gs pos="100000">
                    <a:srgbClr val="A2A2A2"/>
                  </a:gs>
                </a:gsLst>
                <a:lin ang="5400000" scaled="0"/>
              </a:gradFill>
              <a:ln w="12700" cap="flat">
                <a:noFill/>
                <a:miter lim="400000"/>
              </a:ln>
              <a:effectLst/>
            </c:spPr>
          </c:dPt>
          <c:dPt>
            <c:idx val="15"/>
            <c:explosion val="0"/>
            <c:spPr>
              <a:gradFill flip="none" rotWithShape="1">
                <a:gsLst>
                  <a:gs pos="0">
                    <a:srgbClr val="FFD157"/>
                  </a:gs>
                  <a:gs pos="50000">
                    <a:srgbClr val="FFCD33"/>
                  </a:gs>
                  <a:gs pos="100000">
                    <a:srgbClr val="E4B62B"/>
                  </a:gs>
                </a:gsLst>
                <a:lin ang="5400000" scaled="0"/>
              </a:gradFill>
              <a:ln w="12700" cap="flat">
                <a:noFill/>
                <a:miter lim="400000"/>
              </a:ln>
              <a:effectLst/>
            </c:spPr>
          </c:dPt>
          <c:dPt>
            <c:idx val="16"/>
            <c:explosion val="0"/>
            <c:spPr>
              <a:gradFill flip="none" rotWithShape="1">
                <a:gsLst>
                  <a:gs pos="0">
                    <a:srgbClr val="7C9BD6"/>
                  </a:gs>
                  <a:gs pos="50000">
                    <a:srgbClr val="648DD5"/>
                  </a:gs>
                  <a:gs pos="100000">
                    <a:srgbClr val="537BC2"/>
                  </a:gs>
                </a:gsLst>
                <a:lin ang="5400000" scaled="0"/>
              </a:gradFill>
              <a:ln w="12700" cap="flat">
                <a:noFill/>
                <a:miter lim="400000"/>
              </a:ln>
              <a:effectLst/>
            </c:spPr>
          </c:dPt>
          <c:dPt>
            <c:idx val="17"/>
            <c:explosion val="0"/>
            <c:spPr>
              <a:gradFill flip="none" rotWithShape="1">
                <a:gsLst>
                  <a:gs pos="0">
                    <a:srgbClr val="98C87A"/>
                  </a:gs>
                  <a:gs pos="50000">
                    <a:srgbClr val="8BC664"/>
                  </a:gs>
                  <a:gs pos="100000">
                    <a:srgbClr val="7AB453"/>
                  </a:gs>
                </a:gsLst>
                <a:lin ang="5400000" scaled="0"/>
              </a:gradFill>
              <a:ln w="12700" cap="flat">
                <a:noFill/>
                <a:miter lim="400000"/>
              </a:ln>
              <a:effectLst/>
            </c:spPr>
          </c:dPt>
          <c:dPt>
            <c:idx val="18"/>
            <c:explosion val="0"/>
            <c:spPr>
              <a:gradFill flip="none" rotWithShape="1">
                <a:gsLst>
                  <a:gs pos="0">
                    <a:srgbClr val="538CCC"/>
                  </a:gs>
                  <a:gs pos="50000">
                    <a:srgbClr val="2A7DC9"/>
                  </a:gs>
                  <a:gs pos="100000">
                    <a:srgbClr val="1F6FB8"/>
                  </a:gs>
                </a:gsLst>
                <a:lin ang="5400000" scaled="0"/>
              </a:gradFill>
              <a:ln w="12700" cap="flat">
                <a:noFill/>
                <a:miter lim="400000"/>
              </a:ln>
              <a:effectLst/>
            </c:spPr>
          </c:dPt>
          <c:dPt>
            <c:idx val="19"/>
            <c:explosion val="0"/>
            <c:spPr>
              <a:gradFill flip="none" rotWithShape="1">
                <a:gsLst>
                  <a:gs pos="0">
                    <a:srgbClr val="DC7348"/>
                  </a:gs>
                  <a:gs pos="50000">
                    <a:srgbClr val="DC5E09"/>
                  </a:gs>
                  <a:gs pos="100000">
                    <a:srgbClr val="CA5200"/>
                  </a:gs>
                </a:gsLst>
                <a:lin ang="5400000" scaled="0"/>
              </a:gradFill>
              <a:ln w="12700" cap="flat">
                <a:noFill/>
                <a:miter lim="400000"/>
              </a:ln>
              <a:effectLst/>
            </c:spPr>
          </c:dPt>
          <c:dPt>
            <c:idx val="20"/>
            <c:explosion val="0"/>
            <c:spPr>
              <a:gradFill flip="none" rotWithShape="1">
                <a:gsLst>
                  <a:gs pos="0">
                    <a:srgbClr val="919191"/>
                  </a:gs>
                  <a:gs pos="50000">
                    <a:schemeClr val="accent3">
                      <a:lumOff val="-12941"/>
                    </a:schemeClr>
                  </a:gs>
                  <a:gs pos="100000">
                    <a:srgbClr val="757575"/>
                  </a:gs>
                </a:gsLst>
                <a:lin ang="5400000" scaled="0"/>
              </a:gradFill>
              <a:ln w="12700" cap="flat">
                <a:noFill/>
                <a:miter lim="400000"/>
              </a:ln>
              <a:effectLst/>
            </c:spPr>
          </c:dPt>
          <c:dPt>
            <c:idx val="21"/>
            <c:explosion val="0"/>
            <c:spPr>
              <a:gradFill flip="none" rotWithShape="1">
                <a:gsLst>
                  <a:gs pos="0">
                    <a:srgbClr val="D3A547"/>
                  </a:gs>
                  <a:gs pos="50000">
                    <a:schemeClr val="accent4">
                      <a:lumOff val="-9999"/>
                    </a:schemeClr>
                  </a:gs>
                  <a:gs pos="100000">
                    <a:srgbClr val="B48800"/>
                  </a:gs>
                </a:gsLst>
                <a:lin ang="5400000" scaled="0"/>
              </a:gradFill>
              <a:ln w="12700" cap="flat">
                <a:noFill/>
                <a:miter lim="400000"/>
              </a:ln>
              <a:effectLst/>
            </c:spPr>
          </c:dPt>
          <c:dPt>
            <c:idx val="22"/>
            <c:explosion val="0"/>
            <c:spPr>
              <a:gradFill flip="none" rotWithShape="1">
                <a:gsLst>
                  <a:gs pos="0">
                    <a:srgbClr val="546EAC"/>
                  </a:gs>
                  <a:gs pos="50000">
                    <a:srgbClr val="2D59A6"/>
                  </a:gs>
                  <a:gs pos="100000">
                    <a:srgbClr val="234D98"/>
                  </a:gs>
                </a:gsLst>
                <a:lin ang="5400000" scaled="0"/>
              </a:gradFill>
              <a:ln w="12700" cap="flat">
                <a:noFill/>
                <a:miter lim="400000"/>
              </a:ln>
              <a:effectLst/>
            </c:spPr>
          </c:dPt>
          <c:dPt>
            <c:idx val="23"/>
            <c:explosion val="0"/>
            <c:spPr>
              <a:gradFill flip="none" rotWithShape="1">
                <a:gsLst>
                  <a:gs pos="0">
                    <a:srgbClr val="6E9857"/>
                  </a:gs>
                  <a:gs pos="50000">
                    <a:srgbClr val="598E35"/>
                  </a:gs>
                  <a:gs pos="100000">
                    <a:srgbClr val="4E822B"/>
                  </a:gs>
                </a:gsLst>
                <a:lin ang="5400000" scaled="0"/>
              </a:gradFill>
              <a:ln w="12700" cap="flat">
                <a:noFill/>
                <a:miter lim="400000"/>
              </a:ln>
              <a:effectLst/>
            </c:spPr>
          </c:dPt>
          <c:dPt>
            <c:idx val="24"/>
            <c:explosion val="0"/>
            <c:spPr>
              <a:gradFill flip="none" rotWithShape="1">
                <a:gsLst>
                  <a:gs pos="0">
                    <a:srgbClr val="A9CBEA"/>
                  </a:gs>
                  <a:gs pos="50000">
                    <a:srgbClr val="99C3E9"/>
                  </a:gs>
                  <a:gs pos="100000">
                    <a:srgbClr val="82ADD3"/>
                  </a:gs>
                </a:gsLst>
                <a:lin ang="5400000" scaled="0"/>
              </a:gradFill>
              <a:ln w="12700" cap="flat">
                <a:noFill/>
                <a:miter lim="400000"/>
              </a:ln>
              <a:effectLst/>
            </c:spPr>
          </c:dPt>
          <c:dLbls>
            <c:dLbl>
              <c:idx val="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8"/>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9"/>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8"/>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9"/>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2"/>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3"/>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4"/>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showLeaderLines val="1"/>
            <c:leaderLines>
              <c:spPr>
                <a:noFill/>
                <a:ln w="9525" cap="flat">
                  <a:solidFill>
                    <a:srgbClr val="B7C2D1"/>
                  </a:solidFill>
                  <a:prstDash val="solid"/>
                  <a:round/>
                </a:ln>
                <a:effectLst/>
              </c:spPr>
            </c:leaderLines>
          </c:dLbls>
          <c:cat>
            <c:strRef>
              <c:f>Sheet1!$B$1:$Z$1</c:f>
              <c:strCache>
                <c:ptCount val="25"/>
                <c:pt idx="0">
                  <c:v>河南</c:v>
                </c:pt>
                <c:pt idx="1">
                  <c:v>江苏</c:v>
                </c:pt>
                <c:pt idx="2">
                  <c:v>安徽</c:v>
                </c:pt>
                <c:pt idx="3">
                  <c:v>浙江</c:v>
                </c:pt>
                <c:pt idx="4">
                  <c:v>辽宁</c:v>
                </c:pt>
                <c:pt idx="5">
                  <c:v>黑龙江</c:v>
                </c:pt>
                <c:pt idx="6">
                  <c:v>湖北</c:v>
                </c:pt>
                <c:pt idx="7">
                  <c:v>山东</c:v>
                </c:pt>
                <c:pt idx="8">
                  <c:v>山西</c:v>
                </c:pt>
                <c:pt idx="9">
                  <c:v>北京</c:v>
                </c:pt>
                <c:pt idx="10">
                  <c:v>云南</c:v>
                </c:pt>
                <c:pt idx="11">
                  <c:v>江西</c:v>
                </c:pt>
                <c:pt idx="12">
                  <c:v>广东</c:v>
                </c:pt>
                <c:pt idx="13">
                  <c:v>吉林</c:v>
                </c:pt>
                <c:pt idx="14">
                  <c:v>广西</c:v>
                </c:pt>
                <c:pt idx="15">
                  <c:v>河北</c:v>
                </c:pt>
                <c:pt idx="16">
                  <c:v>新疆</c:v>
                </c:pt>
                <c:pt idx="17">
                  <c:v>福建</c:v>
                </c:pt>
                <c:pt idx="18">
                  <c:v>内蒙古</c:v>
                </c:pt>
                <c:pt idx="19">
                  <c:v>湖南</c:v>
                </c:pt>
                <c:pt idx="20">
                  <c:v>宁夏</c:v>
                </c:pt>
                <c:pt idx="21">
                  <c:v>陕西</c:v>
                </c:pt>
                <c:pt idx="22">
                  <c:v>甘肃</c:v>
                </c:pt>
                <c:pt idx="23">
                  <c:v>贵州</c:v>
                </c:pt>
                <c:pt idx="24">
                  <c:v>四川</c:v>
                </c:pt>
              </c:strCache>
            </c:strRef>
          </c:cat>
          <c:val>
            <c:numRef>
              <c:f>Sheet1!$B$2:$Z$2</c:f>
              <c:numCache>
                <c:ptCount val="25"/>
                <c:pt idx="0">
                  <c:v>0.119048</c:v>
                </c:pt>
                <c:pt idx="1">
                  <c:v>0.095238</c:v>
                </c:pt>
                <c:pt idx="2">
                  <c:v>0.087302</c:v>
                </c:pt>
                <c:pt idx="3">
                  <c:v>0.071429</c:v>
                </c:pt>
                <c:pt idx="4">
                  <c:v>0.063492</c:v>
                </c:pt>
                <c:pt idx="5">
                  <c:v>0.055556</c:v>
                </c:pt>
                <c:pt idx="6">
                  <c:v>0.055556</c:v>
                </c:pt>
                <c:pt idx="7">
                  <c:v>0.039683</c:v>
                </c:pt>
                <c:pt idx="8">
                  <c:v>0.039683</c:v>
                </c:pt>
                <c:pt idx="9">
                  <c:v>0.039683</c:v>
                </c:pt>
                <c:pt idx="10">
                  <c:v>0.031746</c:v>
                </c:pt>
                <c:pt idx="11">
                  <c:v>0.031746</c:v>
                </c:pt>
                <c:pt idx="12">
                  <c:v>0.031746</c:v>
                </c:pt>
                <c:pt idx="13">
                  <c:v>0.031746</c:v>
                </c:pt>
                <c:pt idx="14">
                  <c:v>0.023810</c:v>
                </c:pt>
                <c:pt idx="15">
                  <c:v>0.023810</c:v>
                </c:pt>
                <c:pt idx="16">
                  <c:v>0.023810</c:v>
                </c:pt>
                <c:pt idx="17">
                  <c:v>0.023810</c:v>
                </c:pt>
                <c:pt idx="18">
                  <c:v>0.023810</c:v>
                </c:pt>
                <c:pt idx="19">
                  <c:v>0.023810</c:v>
                </c:pt>
                <c:pt idx="20">
                  <c:v>0.015873</c:v>
                </c:pt>
                <c:pt idx="21">
                  <c:v>0.015873</c:v>
                </c:pt>
                <c:pt idx="22">
                  <c:v>0.007937</c:v>
                </c:pt>
                <c:pt idx="23">
                  <c:v>0.007937</c:v>
                </c:pt>
                <c:pt idx="24">
                  <c:v>0.007937</c:v>
                </c:pt>
              </c:numCache>
            </c:numRef>
          </c:val>
        </c:ser>
        <c:firstSliceAng val="0"/>
        <c:holeSize val="50"/>
      </c:doughnutChart>
      <c:spPr>
        <a:noFill/>
        <a:ln w="12700" cap="flat">
          <a:noFill/>
          <a:miter lim="400000"/>
        </a:ln>
        <a:effectLst/>
      </c:spPr>
    </c:plotArea>
    <c:plotVisOnly val="1"/>
    <c:dispBlanksAs val="gap"/>
  </c:chart>
  <c:spPr>
    <a:solidFill>
      <a:srgbClr val="C0EBC7"/>
    </a:solidFill>
    <a:ln>
      <a:noFill/>
    </a:ln>
    <a:effectLst/>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206064"/>
          <c:y val="0.206064"/>
          <c:w val="0.587872"/>
          <c:h val="0.575372"/>
        </c:manualLayout>
      </c:layout>
      <c:doughnutChart>
        <c:varyColors val="0"/>
        <c:ser>
          <c:idx val="0"/>
          <c:order val="0"/>
          <c:tx>
            <c:strRef>
              <c:f>Sheet1!$A$2</c:f>
              <c:strCache>
                <c:ptCount val="1"/>
                <c:pt idx="0">
                  <c:v>汇总</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Pt>
            <c:idx val="11"/>
            <c:explosion val="0"/>
            <c:spPr>
              <a:gradFill flip="none" rotWithShape="1">
                <a:gsLst>
                  <a:gs pos="0">
                    <a:srgbClr val="5E7A50"/>
                  </a:gs>
                  <a:gs pos="50000">
                    <a:srgbClr val="436B28"/>
                  </a:gs>
                  <a:gs pos="100000">
                    <a:srgbClr val="3A6120"/>
                  </a:gs>
                </a:gsLst>
                <a:lin ang="5400000" scaled="0"/>
              </a:gradFill>
              <a:ln w="12700" cap="flat">
                <a:noFill/>
                <a:miter lim="400000"/>
              </a:ln>
              <a:effectLst/>
            </c:spPr>
          </c:dPt>
          <c:dPt>
            <c:idx val="12"/>
            <c:explosion val="0"/>
            <c:spPr>
              <a:gradFill flip="none" rotWithShape="1">
                <a:gsLst>
                  <a:gs pos="0">
                    <a:srgbClr val="8CB8E2"/>
                  </a:gs>
                  <a:gs pos="50000">
                    <a:srgbClr val="77AFE2"/>
                  </a:gs>
                  <a:gs pos="100000">
                    <a:srgbClr val="639BCE"/>
                  </a:gs>
                </a:gsLst>
                <a:lin ang="5400000" scaled="0"/>
              </a:gradFill>
              <a:ln w="12700" cap="flat">
                <a:noFill/>
                <a:miter lim="400000"/>
              </a:ln>
              <a:effectLst/>
            </c:spPr>
          </c:dPt>
          <c:dPt>
            <c:idx val="13"/>
            <c:explosion val="0"/>
            <c:spPr>
              <a:gradFill flip="none" rotWithShape="1">
                <a:gsLst>
                  <a:gs pos="0">
                    <a:srgbClr val="F4A370"/>
                  </a:gs>
                  <a:gs pos="50000">
                    <a:srgbClr val="F89653"/>
                  </a:gs>
                  <a:gs pos="100000">
                    <a:srgbClr val="E48341"/>
                  </a:gs>
                </a:gsLst>
                <a:lin ang="5400000" scaled="0"/>
              </a:gradFill>
              <a:ln w="12700" cap="flat">
                <a:noFill/>
                <a:miter lim="400000"/>
              </a:ln>
              <a:effectLst/>
            </c:spPr>
          </c:dPt>
          <c:dPt>
            <c:idx val="14"/>
            <c:explosion val="0"/>
            <c:spPr>
              <a:gradFill flip="none" rotWithShape="1">
                <a:gsLst>
                  <a:gs pos="0">
                    <a:srgbClr val="C0C0C0"/>
                  </a:gs>
                  <a:gs pos="50000">
                    <a:srgbClr val="B7B7B7"/>
                  </a:gs>
                  <a:gs pos="100000">
                    <a:srgbClr val="A2A2A2"/>
                  </a:gs>
                </a:gsLst>
                <a:lin ang="5400000" scaled="0"/>
              </a:gradFill>
              <a:ln w="12700" cap="flat">
                <a:noFill/>
                <a:miter lim="400000"/>
              </a:ln>
              <a:effectLst/>
            </c:spPr>
          </c:dPt>
          <c:dPt>
            <c:idx val="15"/>
            <c:explosion val="0"/>
            <c:spPr>
              <a:gradFill flip="none" rotWithShape="1">
                <a:gsLst>
                  <a:gs pos="0">
                    <a:srgbClr val="FFD157"/>
                  </a:gs>
                  <a:gs pos="50000">
                    <a:srgbClr val="FFCD33"/>
                  </a:gs>
                  <a:gs pos="100000">
                    <a:srgbClr val="E4B62B"/>
                  </a:gs>
                </a:gsLst>
                <a:lin ang="5400000" scaled="0"/>
              </a:gradFill>
              <a:ln w="12700" cap="flat">
                <a:noFill/>
                <a:miter lim="400000"/>
              </a:ln>
              <a:effectLst/>
            </c:spPr>
          </c:dPt>
          <c:dPt>
            <c:idx val="16"/>
            <c:explosion val="0"/>
            <c:spPr>
              <a:gradFill flip="none" rotWithShape="1">
                <a:gsLst>
                  <a:gs pos="0">
                    <a:srgbClr val="7C9BD6"/>
                  </a:gs>
                  <a:gs pos="50000">
                    <a:srgbClr val="648DD5"/>
                  </a:gs>
                  <a:gs pos="100000">
                    <a:srgbClr val="537BC2"/>
                  </a:gs>
                </a:gsLst>
                <a:lin ang="5400000" scaled="0"/>
              </a:gradFill>
              <a:ln w="12700" cap="flat">
                <a:noFill/>
                <a:miter lim="400000"/>
              </a:ln>
              <a:effectLst/>
            </c:spPr>
          </c:dPt>
          <c:dPt>
            <c:idx val="17"/>
            <c:explosion val="0"/>
            <c:spPr>
              <a:gradFill flip="none" rotWithShape="1">
                <a:gsLst>
                  <a:gs pos="0">
                    <a:srgbClr val="98C87A"/>
                  </a:gs>
                  <a:gs pos="50000">
                    <a:srgbClr val="8BC664"/>
                  </a:gs>
                  <a:gs pos="100000">
                    <a:srgbClr val="7AB453"/>
                  </a:gs>
                </a:gsLst>
                <a:lin ang="5400000" scaled="0"/>
              </a:gradFill>
              <a:ln w="12700" cap="flat">
                <a:noFill/>
                <a:miter lim="400000"/>
              </a:ln>
              <a:effectLst/>
            </c:spPr>
          </c:dPt>
          <c:dPt>
            <c:idx val="18"/>
            <c:explosion val="0"/>
            <c:spPr>
              <a:gradFill flip="none" rotWithShape="1">
                <a:gsLst>
                  <a:gs pos="0">
                    <a:srgbClr val="538CCC"/>
                  </a:gs>
                  <a:gs pos="50000">
                    <a:srgbClr val="2A7DC9"/>
                  </a:gs>
                  <a:gs pos="100000">
                    <a:srgbClr val="1F6FB8"/>
                  </a:gs>
                </a:gsLst>
                <a:lin ang="5400000" scaled="0"/>
              </a:gradFill>
              <a:ln w="12700" cap="flat">
                <a:noFill/>
                <a:miter lim="400000"/>
              </a:ln>
              <a:effectLst/>
            </c:spPr>
          </c:dPt>
          <c:dPt>
            <c:idx val="19"/>
            <c:explosion val="0"/>
            <c:spPr>
              <a:gradFill flip="none" rotWithShape="1">
                <a:gsLst>
                  <a:gs pos="0">
                    <a:srgbClr val="DC7348"/>
                  </a:gs>
                  <a:gs pos="50000">
                    <a:srgbClr val="DC5E09"/>
                  </a:gs>
                  <a:gs pos="100000">
                    <a:srgbClr val="CA5200"/>
                  </a:gs>
                </a:gsLst>
                <a:lin ang="5400000" scaled="0"/>
              </a:gradFill>
              <a:ln w="12700" cap="flat">
                <a:noFill/>
                <a:miter lim="400000"/>
              </a:ln>
              <a:effectLst/>
            </c:spPr>
          </c:dPt>
          <c:dPt>
            <c:idx val="20"/>
            <c:explosion val="0"/>
            <c:spPr>
              <a:gradFill flip="none" rotWithShape="1">
                <a:gsLst>
                  <a:gs pos="0">
                    <a:srgbClr val="919191"/>
                  </a:gs>
                  <a:gs pos="50000">
                    <a:schemeClr val="accent3">
                      <a:lumOff val="-12941"/>
                    </a:schemeClr>
                  </a:gs>
                  <a:gs pos="100000">
                    <a:srgbClr val="757575"/>
                  </a:gs>
                </a:gsLst>
                <a:lin ang="5400000" scaled="0"/>
              </a:gradFill>
              <a:ln w="12700" cap="flat">
                <a:noFill/>
                <a:miter lim="400000"/>
              </a:ln>
              <a:effectLst/>
            </c:spPr>
          </c:dPt>
          <c:dPt>
            <c:idx val="21"/>
            <c:explosion val="0"/>
            <c:spPr>
              <a:gradFill flip="none" rotWithShape="1">
                <a:gsLst>
                  <a:gs pos="0">
                    <a:srgbClr val="D3A547"/>
                  </a:gs>
                  <a:gs pos="50000">
                    <a:schemeClr val="accent4">
                      <a:lumOff val="-9999"/>
                    </a:schemeClr>
                  </a:gs>
                  <a:gs pos="100000">
                    <a:srgbClr val="B48800"/>
                  </a:gs>
                </a:gsLst>
                <a:lin ang="5400000" scaled="0"/>
              </a:gradFill>
              <a:ln w="12700" cap="flat">
                <a:noFill/>
                <a:miter lim="400000"/>
              </a:ln>
              <a:effectLst/>
            </c:spPr>
          </c:dPt>
          <c:dPt>
            <c:idx val="22"/>
            <c:explosion val="0"/>
            <c:spPr>
              <a:gradFill flip="none" rotWithShape="1">
                <a:gsLst>
                  <a:gs pos="0">
                    <a:srgbClr val="546EAC"/>
                  </a:gs>
                  <a:gs pos="50000">
                    <a:srgbClr val="2D59A6"/>
                  </a:gs>
                  <a:gs pos="100000">
                    <a:srgbClr val="234D98"/>
                  </a:gs>
                </a:gsLst>
                <a:lin ang="5400000" scaled="0"/>
              </a:gradFill>
              <a:ln w="12700" cap="flat">
                <a:noFill/>
                <a:miter lim="400000"/>
              </a:ln>
              <a:effectLst/>
            </c:spPr>
          </c:dPt>
          <c:dPt>
            <c:idx val="23"/>
            <c:explosion val="0"/>
            <c:spPr>
              <a:gradFill flip="none" rotWithShape="1">
                <a:gsLst>
                  <a:gs pos="0">
                    <a:srgbClr val="6E9857"/>
                  </a:gs>
                  <a:gs pos="50000">
                    <a:srgbClr val="598E35"/>
                  </a:gs>
                  <a:gs pos="100000">
                    <a:srgbClr val="4E822B"/>
                  </a:gs>
                </a:gsLst>
                <a:lin ang="5400000" scaled="0"/>
              </a:gradFill>
              <a:ln w="12700" cap="flat">
                <a:noFill/>
                <a:miter lim="400000"/>
              </a:ln>
              <a:effectLst/>
            </c:spPr>
          </c:dPt>
          <c:dPt>
            <c:idx val="24"/>
            <c:explosion val="0"/>
            <c:spPr>
              <a:gradFill flip="none" rotWithShape="1">
                <a:gsLst>
                  <a:gs pos="0">
                    <a:srgbClr val="A9CBEA"/>
                  </a:gs>
                  <a:gs pos="50000">
                    <a:srgbClr val="99C3E9"/>
                  </a:gs>
                  <a:gs pos="100000">
                    <a:srgbClr val="82ADD3"/>
                  </a:gs>
                </a:gsLst>
                <a:lin ang="5400000" scaled="0"/>
              </a:gradFill>
              <a:ln w="12700" cap="flat">
                <a:noFill/>
                <a:miter lim="400000"/>
              </a:ln>
              <a:effectLst/>
            </c:spPr>
          </c:dPt>
          <c:dLbls>
            <c:dLbl>
              <c:idx val="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8"/>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9"/>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4"/>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5"/>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6"/>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7"/>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8"/>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9"/>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2"/>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3"/>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dLbl>
              <c:idx val="24"/>
              <c:numFmt formatCode="0%" sourceLinked="0"/>
              <c:txPr>
                <a:bodyPr/>
                <a:lstStyle/>
                <a:p>
                  <a:pPr>
                    <a:defRPr b="0" i="0" strike="noStrike" sz="900" u="none">
                      <a:solidFill>
                        <a:srgbClr val="000000"/>
                      </a:solidFill>
                      <a:latin typeface="Calibri"/>
                    </a:defRPr>
                  </a:pPr>
                </a:p>
              </c:txPr>
              <c:showLegendKey val="0"/>
              <c:showVal val="0"/>
              <c:showCatName val="0"/>
              <c:showSerName val="0"/>
              <c:showPercent val="0"/>
              <c:showBubbleSize val="0"/>
            </c:dLbl>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showLeaderLines val="1"/>
            <c:leaderLines>
              <c:spPr>
                <a:noFill/>
                <a:ln w="9525" cap="flat">
                  <a:solidFill>
                    <a:srgbClr val="B7C2D1"/>
                  </a:solidFill>
                  <a:prstDash val="solid"/>
                  <a:round/>
                </a:ln>
                <a:effectLst/>
              </c:spPr>
            </c:leaderLines>
          </c:dLbls>
          <c:cat>
            <c:strRef>
              <c:f>Sheet1!$B$1:$Z$1</c:f>
              <c:strCache>
                <c:ptCount val="25"/>
                <c:pt idx="0">
                  <c:v>湖南</c:v>
                </c:pt>
                <c:pt idx="1">
                  <c:v>广西</c:v>
                </c:pt>
                <c:pt idx="2">
                  <c:v>湖北</c:v>
                </c:pt>
                <c:pt idx="3">
                  <c:v>福建</c:v>
                </c:pt>
                <c:pt idx="4">
                  <c:v>江苏</c:v>
                </c:pt>
                <c:pt idx="5">
                  <c:v>江西</c:v>
                </c:pt>
                <c:pt idx="6">
                  <c:v>黑龙江</c:v>
                </c:pt>
                <c:pt idx="7">
                  <c:v>吉林</c:v>
                </c:pt>
                <c:pt idx="8">
                  <c:v>新疆</c:v>
                </c:pt>
                <c:pt idx="9">
                  <c:v>山东</c:v>
                </c:pt>
                <c:pt idx="10">
                  <c:v>安徽</c:v>
                </c:pt>
                <c:pt idx="11">
                  <c:v>甘肃</c:v>
                </c:pt>
                <c:pt idx="12">
                  <c:v>辽宁</c:v>
                </c:pt>
                <c:pt idx="13">
                  <c:v>河南</c:v>
                </c:pt>
                <c:pt idx="14">
                  <c:v>陕西</c:v>
                </c:pt>
                <c:pt idx="15">
                  <c:v>浙江</c:v>
                </c:pt>
                <c:pt idx="16">
                  <c:v>云南</c:v>
                </c:pt>
                <c:pt idx="17">
                  <c:v>河北</c:v>
                </c:pt>
                <c:pt idx="18">
                  <c:v>山西</c:v>
                </c:pt>
                <c:pt idx="19">
                  <c:v>内蒙古</c:v>
                </c:pt>
                <c:pt idx="20">
                  <c:v>宁夏</c:v>
                </c:pt>
                <c:pt idx="21">
                  <c:v>北京</c:v>
                </c:pt>
                <c:pt idx="22">
                  <c:v>香港</c:v>
                </c:pt>
                <c:pt idx="23">
                  <c:v>贵州</c:v>
                </c:pt>
                <c:pt idx="24">
                  <c:v>台湾</c:v>
                </c:pt>
              </c:strCache>
            </c:strRef>
          </c:cat>
          <c:val>
            <c:numRef>
              <c:f>Sheet1!$B$2:$Z$2</c:f>
              <c:numCache>
                <c:ptCount val="25"/>
                <c:pt idx="0">
                  <c:v>0.173077</c:v>
                </c:pt>
                <c:pt idx="1">
                  <c:v>0.115385</c:v>
                </c:pt>
                <c:pt idx="2">
                  <c:v>0.105769</c:v>
                </c:pt>
                <c:pt idx="3">
                  <c:v>0.067308</c:v>
                </c:pt>
                <c:pt idx="4">
                  <c:v>0.048077</c:v>
                </c:pt>
                <c:pt idx="5">
                  <c:v>0.048077</c:v>
                </c:pt>
                <c:pt idx="6">
                  <c:v>0.048077</c:v>
                </c:pt>
                <c:pt idx="7">
                  <c:v>0.048077</c:v>
                </c:pt>
                <c:pt idx="8">
                  <c:v>0.038462</c:v>
                </c:pt>
                <c:pt idx="9">
                  <c:v>0.038462</c:v>
                </c:pt>
                <c:pt idx="10">
                  <c:v>0.038462</c:v>
                </c:pt>
                <c:pt idx="11">
                  <c:v>0.038462</c:v>
                </c:pt>
                <c:pt idx="12">
                  <c:v>0.019231</c:v>
                </c:pt>
                <c:pt idx="13">
                  <c:v>0.019231</c:v>
                </c:pt>
                <c:pt idx="14">
                  <c:v>0.019231</c:v>
                </c:pt>
                <c:pt idx="15">
                  <c:v>0.019231</c:v>
                </c:pt>
                <c:pt idx="16">
                  <c:v>0.019231</c:v>
                </c:pt>
                <c:pt idx="17">
                  <c:v>0.019231</c:v>
                </c:pt>
                <c:pt idx="18">
                  <c:v>0.019231</c:v>
                </c:pt>
                <c:pt idx="19">
                  <c:v>0.019231</c:v>
                </c:pt>
                <c:pt idx="20">
                  <c:v>0.009615</c:v>
                </c:pt>
                <c:pt idx="21">
                  <c:v>0.009615</c:v>
                </c:pt>
                <c:pt idx="22">
                  <c:v>0.009615</c:v>
                </c:pt>
                <c:pt idx="23">
                  <c:v>0.009615</c:v>
                </c:pt>
                <c:pt idx="24">
                  <c:v>0.005025</c:v>
                </c:pt>
              </c:numCache>
            </c:numRef>
          </c:val>
        </c:ser>
        <c:firstSliceAng val="0"/>
        <c:holeSize val="50"/>
      </c:doughnutChart>
      <c:spPr>
        <a:noFill/>
        <a:ln w="12700" cap="flat">
          <a:noFill/>
          <a:miter lim="400000"/>
        </a:ln>
        <a:effectLst/>
      </c:spPr>
    </c:plotArea>
    <c:plotVisOnly val="1"/>
    <c:dispBlanksAs val="gap"/>
  </c:chart>
  <c:spPr>
    <a:solidFill>
      <a:srgbClr val="C0EBC7"/>
    </a:solidFill>
    <a:ln>
      <a:noFill/>
    </a:ln>
    <a:effectLst/>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Sheet1!$A$2:$A$13</c:f>
              <c:strCache>
                <c:ptCount val="12"/>
                <c:pt idx="0">
                  <c:v>经济发展快</c:v>
                </c:pt>
                <c:pt idx="1">
                  <c:v>国际化程度高</c:v>
                </c:pt>
                <c:pt idx="2">
                  <c:v>具有多元文化，包容性强</c:v>
                </c:pt>
                <c:pt idx="3">
                  <c:v>产业基础好</c:v>
                </c:pt>
                <c:pt idx="4">
                  <c:v>基础配套设施齐备</c:v>
                </c:pt>
                <c:pt idx="5">
                  <c:v>教育、医疗等公共资源集中</c:v>
                </c:pt>
                <c:pt idx="6">
                  <c:v>有较好的人脉关系</c:v>
                </c:pt>
                <c:pt idx="7">
                  <c:v>自然环境好，生活舒适</c:v>
                </c:pt>
                <c:pt idx="8">
                  <c:v>相关人才政策吸引</c:v>
                </c:pt>
                <c:pt idx="9">
                  <c:v>工作或家庭原因</c:v>
                </c:pt>
                <c:pt idx="10">
                  <c:v>房价等生活成本较低</c:v>
                </c:pt>
                <c:pt idx="11">
                  <c:v>其它</c:v>
                </c:pt>
              </c:strCache>
            </c:strRef>
          </c:cat>
          <c:val>
            <c:numRef>
              <c:f>Sheet1!$B$2:$B$13</c:f>
              <c:numCache>
                <c:ptCount val="12"/>
                <c:pt idx="0">
                  <c:v>0.556314</c:v>
                </c:pt>
                <c:pt idx="1">
                  <c:v>0.382253</c:v>
                </c:pt>
                <c:pt idx="2">
                  <c:v>0.336177</c:v>
                </c:pt>
                <c:pt idx="3">
                  <c:v>0.184300</c:v>
                </c:pt>
                <c:pt idx="4">
                  <c:v>0.175768</c:v>
                </c:pt>
                <c:pt idx="5">
                  <c:v>0.153584</c:v>
                </c:pt>
                <c:pt idx="6">
                  <c:v>0.126280</c:v>
                </c:pt>
                <c:pt idx="7">
                  <c:v>0.114334</c:v>
                </c:pt>
                <c:pt idx="8">
                  <c:v>0.107509</c:v>
                </c:pt>
                <c:pt idx="9">
                  <c:v>0.093857</c:v>
                </c:pt>
                <c:pt idx="10">
                  <c:v>0.075085</c:v>
                </c:pt>
                <c:pt idx="11">
                  <c:v>0.023891</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Sheet1!$A$2:$A$13</c:f>
              <c:strCache>
                <c:ptCount val="12"/>
                <c:pt idx="0">
                  <c:v>经济发展快</c:v>
                </c:pt>
                <c:pt idx="1">
                  <c:v>国际化程度高</c:v>
                </c:pt>
                <c:pt idx="2">
                  <c:v>具有多元文化，包容性强</c:v>
                </c:pt>
                <c:pt idx="3">
                  <c:v>产业基础好</c:v>
                </c:pt>
                <c:pt idx="4">
                  <c:v>基础配套设施齐备</c:v>
                </c:pt>
                <c:pt idx="5">
                  <c:v>教育、医疗等公共资源集中</c:v>
                </c:pt>
                <c:pt idx="6">
                  <c:v>有较好的人脉关系</c:v>
                </c:pt>
                <c:pt idx="7">
                  <c:v>自然环境好，生活舒适</c:v>
                </c:pt>
                <c:pt idx="8">
                  <c:v>相关人才政策吸引</c:v>
                </c:pt>
                <c:pt idx="9">
                  <c:v>工作或家庭原因</c:v>
                </c:pt>
                <c:pt idx="10">
                  <c:v>房价等生活成本较低</c:v>
                </c:pt>
                <c:pt idx="11">
                  <c:v>其它</c:v>
                </c:pt>
              </c:strCache>
            </c:strRef>
          </c:cat>
          <c:val>
            <c:numRef>
              <c:f>Sheet1!$C$2:$C$13</c:f>
              <c:numCache>
                <c:ptCount val="12"/>
                <c:pt idx="0">
                  <c:v>0.578358</c:v>
                </c:pt>
                <c:pt idx="1">
                  <c:v>0.335821</c:v>
                </c:pt>
                <c:pt idx="2">
                  <c:v>0.272388</c:v>
                </c:pt>
                <c:pt idx="3">
                  <c:v>0.253731</c:v>
                </c:pt>
                <c:pt idx="4">
                  <c:v>0.175373</c:v>
                </c:pt>
                <c:pt idx="5">
                  <c:v>0.145522</c:v>
                </c:pt>
                <c:pt idx="6">
                  <c:v>0.104478</c:v>
                </c:pt>
                <c:pt idx="7">
                  <c:v>0.108209</c:v>
                </c:pt>
                <c:pt idx="8">
                  <c:v>0.104478</c:v>
                </c:pt>
                <c:pt idx="9">
                  <c:v>0.100746</c:v>
                </c:pt>
                <c:pt idx="10">
                  <c:v>0.104478</c:v>
                </c:pt>
                <c:pt idx="11">
                  <c:v>0.011194</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Sheet1!$A$2:$A$13</c:f>
              <c:strCache>
                <c:ptCount val="12"/>
                <c:pt idx="0">
                  <c:v>经济发展快</c:v>
                </c:pt>
                <c:pt idx="1">
                  <c:v>国际化程度高</c:v>
                </c:pt>
                <c:pt idx="2">
                  <c:v>具有多元文化，包容性强</c:v>
                </c:pt>
                <c:pt idx="3">
                  <c:v>产业基础好</c:v>
                </c:pt>
                <c:pt idx="4">
                  <c:v>基础配套设施齐备</c:v>
                </c:pt>
                <c:pt idx="5">
                  <c:v>教育、医疗等公共资源集中</c:v>
                </c:pt>
                <c:pt idx="6">
                  <c:v>有较好的人脉关系</c:v>
                </c:pt>
                <c:pt idx="7">
                  <c:v>自然环境好，生活舒适</c:v>
                </c:pt>
                <c:pt idx="8">
                  <c:v>相关人才政策吸引</c:v>
                </c:pt>
                <c:pt idx="9">
                  <c:v>工作或家庭原因</c:v>
                </c:pt>
                <c:pt idx="10">
                  <c:v>房价等生活成本较低</c:v>
                </c:pt>
                <c:pt idx="11">
                  <c:v>其它</c:v>
                </c:pt>
              </c:strCache>
            </c:strRef>
          </c:cat>
          <c:val>
            <c:numRef>
              <c:f>Sheet1!$D$2:$D$13</c:f>
              <c:numCache>
                <c:ptCount val="12"/>
                <c:pt idx="0">
                  <c:v>0.537736</c:v>
                </c:pt>
                <c:pt idx="1">
                  <c:v>0.421384</c:v>
                </c:pt>
                <c:pt idx="2">
                  <c:v>0.389937</c:v>
                </c:pt>
                <c:pt idx="3">
                  <c:v>0.125786</c:v>
                </c:pt>
                <c:pt idx="4">
                  <c:v>0.176101</c:v>
                </c:pt>
                <c:pt idx="5">
                  <c:v>0.160377</c:v>
                </c:pt>
                <c:pt idx="6">
                  <c:v>0.144654</c:v>
                </c:pt>
                <c:pt idx="7">
                  <c:v>0.119497</c:v>
                </c:pt>
                <c:pt idx="8">
                  <c:v>0.110063</c:v>
                </c:pt>
                <c:pt idx="9">
                  <c:v>0.088050</c:v>
                </c:pt>
                <c:pt idx="10">
                  <c:v>0.050314</c:v>
                </c:pt>
                <c:pt idx="11">
                  <c:v>0.034591</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746204"/>
          <c:y val="0.0449305"/>
          <c:w val="0.912185"/>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说明人才越来越重要，越来越受到重视</c:v>
                </c:pt>
                <c:pt idx="1">
                  <c:v>人才吸引政策需要加大对海归的支持力度</c:v>
                </c:pt>
                <c:pt idx="2">
                  <c:v>人才政策会影响我就业/创业的城市选择</c:v>
                </c:pt>
                <c:pt idx="3">
                  <c:v>人才政策颁布时间还较短，暂时看不出来更多的效果</c:v>
                </c:pt>
                <c:pt idx="4">
                  <c:v>其它</c:v>
                </c:pt>
              </c:strCache>
            </c:strRef>
          </c:cat>
          <c:val>
            <c:numRef>
              <c:f>Sheet1!$B$2:$B$6</c:f>
              <c:numCache>
                <c:ptCount val="5"/>
                <c:pt idx="0">
                  <c:v>0.653280</c:v>
                </c:pt>
                <c:pt idx="1">
                  <c:v>0.516064</c:v>
                </c:pt>
                <c:pt idx="2">
                  <c:v>0.354083</c:v>
                </c:pt>
                <c:pt idx="3">
                  <c:v>0.310576</c:v>
                </c:pt>
                <c:pt idx="4">
                  <c:v>0.022758</c:v>
                </c:pt>
              </c:numCache>
            </c:numRef>
          </c:val>
        </c:ser>
        <c:axId val="2094734552"/>
        <c:axId val="2094734553"/>
      </c:areaChart>
      <c:barChart>
        <c:barDir val="col"/>
        <c:grouping val="clustered"/>
        <c:varyColors val="0"/>
        <c:ser>
          <c:idx val="1"/>
          <c:order val="1"/>
          <c:tx>
            <c:strRef>
              <c:f>Sheet1!$C$1</c:f>
              <c:strCache>
                <c:ptCount val="1"/>
                <c:pt idx="0">
                  <c:v>男性</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说明人才越来越重要，越来越受到重视</c:v>
                </c:pt>
                <c:pt idx="1">
                  <c:v>人才吸引政策需要加大对海归的支持力度</c:v>
                </c:pt>
                <c:pt idx="2">
                  <c:v>人才政策会影响我就业/创业的城市选择</c:v>
                </c:pt>
                <c:pt idx="3">
                  <c:v>人才政策颁布时间还较短，暂时看不出来更多的效果</c:v>
                </c:pt>
                <c:pt idx="4">
                  <c:v>其它</c:v>
                </c:pt>
              </c:strCache>
            </c:strRef>
          </c:cat>
          <c:val>
            <c:numRef>
              <c:f>Sheet1!$C$2:$C$6</c:f>
              <c:numCache>
                <c:ptCount val="5"/>
                <c:pt idx="0">
                  <c:v>0.642755</c:v>
                </c:pt>
                <c:pt idx="1">
                  <c:v>0.520803</c:v>
                </c:pt>
                <c:pt idx="2">
                  <c:v>0.342898</c:v>
                </c:pt>
                <c:pt idx="3">
                  <c:v>0.315638</c:v>
                </c:pt>
                <c:pt idx="4">
                  <c:v>0.021521</c:v>
                </c:pt>
              </c:numCache>
            </c:numRef>
          </c:val>
        </c:ser>
        <c:ser>
          <c:idx val="2"/>
          <c:order val="2"/>
          <c:tx>
            <c:strRef>
              <c:f>Sheet1!$D$1</c:f>
              <c:strCache>
                <c:ptCount val="1"/>
                <c:pt idx="0">
                  <c:v>女性</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说明人才越来越重要，越来越受到重视</c:v>
                </c:pt>
                <c:pt idx="1">
                  <c:v>人才吸引政策需要加大对海归的支持力度</c:v>
                </c:pt>
                <c:pt idx="2">
                  <c:v>人才政策会影响我就业/创业的城市选择</c:v>
                </c:pt>
                <c:pt idx="3">
                  <c:v>人才政策颁布时间还较短，暂时看不出来更多的效果</c:v>
                </c:pt>
                <c:pt idx="4">
                  <c:v>其它</c:v>
                </c:pt>
              </c:strCache>
            </c:strRef>
          </c:cat>
          <c:val>
            <c:numRef>
              <c:f>Sheet1!$D$2:$D$6</c:f>
              <c:numCache>
                <c:ptCount val="5"/>
                <c:pt idx="0">
                  <c:v>0.662484</c:v>
                </c:pt>
                <c:pt idx="1">
                  <c:v>0.511920</c:v>
                </c:pt>
                <c:pt idx="2">
                  <c:v>0.363864</c:v>
                </c:pt>
                <c:pt idx="3">
                  <c:v>0.306148</c:v>
                </c:pt>
                <c:pt idx="4">
                  <c:v>0.023839</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75"/>
        <c:minorUnit val="0.0875"/>
      </c:valAx>
      <c:spPr>
        <a:noFill/>
        <a:ln w="12700" cap="flat">
          <a:noFill/>
          <a:miter lim="400000"/>
        </a:ln>
        <a:effectLst/>
      </c:spPr>
    </c:plotArea>
    <c:legend>
      <c:legendPos val="b"/>
      <c:layout>
        <c:manualLayout>
          <c:xMode val="edge"/>
          <c:yMode val="edge"/>
          <c:x val="0.336725"/>
          <c:y val="0.92909"/>
          <c:w val="0.357663"/>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794976"/>
          <c:y val="0.0433919"/>
          <c:w val="0.891672"/>
          <c:h val="0.412224"/>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Sheet1!$A$2:$A$15</c:f>
              <c:strCache>
                <c:ptCount val="14"/>
                <c:pt idx="0">
                  <c:v>语言及跨文化沟通能力强</c:v>
                </c:pt>
                <c:pt idx="1">
                  <c:v>具有国际视野</c:v>
                </c:pt>
                <c:pt idx="2">
                  <c:v>生活适应能力强，更加独立</c:v>
                </c:pt>
                <c:pt idx="3">
                  <c:v>批判性思考能力强</c:v>
                </c:pt>
                <c:pt idx="4">
                  <c:v>更了解海外市场，容易在海
外市场建立品牌或分销渠道</c:v>
                </c:pt>
                <c:pt idx="5">
                  <c:v>更具创新能力</c:v>
                </c:pt>
                <c:pt idx="6">
                  <c:v>社会交往能力强</c:v>
                </c:pt>
                <c:pt idx="7">
                  <c:v>具备国际合作优势</c:v>
                </c:pt>
                <c:pt idx="8">
                  <c:v>专业优势</c:v>
                </c:pt>
                <c:pt idx="9">
                  <c:v>有助于提升工作能力</c:v>
                </c:pt>
                <c:pt idx="10">
                  <c:v>有助于职务晋升</c:v>
                </c:pt>
                <c:pt idx="11">
                  <c:v>更容易从海外获得必要技术</c:v>
                </c:pt>
                <c:pt idx="12">
                  <c:v>更容易从海外雇用研发人员
或获得海外研发合作伙伴</c:v>
                </c:pt>
                <c:pt idx="13">
                  <c:v>更容易获得海外风险投资</c:v>
                </c:pt>
              </c:strCache>
            </c:strRef>
          </c:cat>
          <c:val>
            <c:numRef>
              <c:f>Sheet1!$B$2:$B$15</c:f>
              <c:numCache>
                <c:ptCount val="14"/>
                <c:pt idx="0">
                  <c:v>0.727577</c:v>
                </c:pt>
                <c:pt idx="1">
                  <c:v>0.591700</c:v>
                </c:pt>
                <c:pt idx="2">
                  <c:v>0.366131</c:v>
                </c:pt>
                <c:pt idx="3">
                  <c:v>0.250335</c:v>
                </c:pt>
                <c:pt idx="4">
                  <c:v>0.162651</c:v>
                </c:pt>
                <c:pt idx="5">
                  <c:v>0.156627</c:v>
                </c:pt>
                <c:pt idx="6">
                  <c:v>0.131861</c:v>
                </c:pt>
                <c:pt idx="7">
                  <c:v>0.115127</c:v>
                </c:pt>
                <c:pt idx="8">
                  <c:v>0.112450</c:v>
                </c:pt>
                <c:pt idx="9">
                  <c:v>0.064926</c:v>
                </c:pt>
                <c:pt idx="10">
                  <c:v>0.032129</c:v>
                </c:pt>
                <c:pt idx="11">
                  <c:v>0.031459</c:v>
                </c:pt>
                <c:pt idx="12">
                  <c:v>0.022758</c:v>
                </c:pt>
                <c:pt idx="13">
                  <c:v>0.004016</c:v>
                </c:pt>
              </c:numCache>
            </c:numRef>
          </c:val>
        </c:ser>
        <c:axId val="2094734552"/>
        <c:axId val="2094734553"/>
      </c:areaChart>
      <c:barChart>
        <c:barDir val="col"/>
        <c:grouping val="clustered"/>
        <c:varyColors val="0"/>
        <c:ser>
          <c:idx val="1"/>
          <c:order val="1"/>
          <c:tx>
            <c:strRef>
              <c:f>Sheet1!$C$1</c:f>
              <c:strCache>
                <c:ptCount val="1"/>
                <c:pt idx="0">
                  <c:v>男性</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Sheet1!$A$2:$A$15</c:f>
              <c:strCache>
                <c:ptCount val="14"/>
                <c:pt idx="0">
                  <c:v>语言及跨文化沟通能力强</c:v>
                </c:pt>
                <c:pt idx="1">
                  <c:v>具有国际视野</c:v>
                </c:pt>
                <c:pt idx="2">
                  <c:v>生活适应能力强，更加独立</c:v>
                </c:pt>
                <c:pt idx="3">
                  <c:v>批判性思考能力强</c:v>
                </c:pt>
                <c:pt idx="4">
                  <c:v>更了解海外市场，容易在海
外市场建立品牌或分销渠道</c:v>
                </c:pt>
                <c:pt idx="5">
                  <c:v>更具创新能力</c:v>
                </c:pt>
                <c:pt idx="6">
                  <c:v>社会交往能力强</c:v>
                </c:pt>
                <c:pt idx="7">
                  <c:v>具备国际合作优势</c:v>
                </c:pt>
                <c:pt idx="8">
                  <c:v>专业优势</c:v>
                </c:pt>
                <c:pt idx="9">
                  <c:v>有助于提升工作能力</c:v>
                </c:pt>
                <c:pt idx="10">
                  <c:v>有助于职务晋升</c:v>
                </c:pt>
                <c:pt idx="11">
                  <c:v>更容易从海外获得必要技术</c:v>
                </c:pt>
                <c:pt idx="12">
                  <c:v>更容易从海外雇用研发人员
或获得海外研发合作伙伴</c:v>
                </c:pt>
                <c:pt idx="13">
                  <c:v>更容易获得海外风险投资</c:v>
                </c:pt>
              </c:strCache>
            </c:strRef>
          </c:cat>
          <c:val>
            <c:numRef>
              <c:f>Sheet1!$C$2:$C$15</c:f>
              <c:numCache>
                <c:ptCount val="14"/>
                <c:pt idx="0">
                  <c:v>0.713056</c:v>
                </c:pt>
                <c:pt idx="1">
                  <c:v>0.601148</c:v>
                </c:pt>
                <c:pt idx="2">
                  <c:v>0.329986</c:v>
                </c:pt>
                <c:pt idx="3">
                  <c:v>0.245337</c:v>
                </c:pt>
                <c:pt idx="4">
                  <c:v>0.153515</c:v>
                </c:pt>
                <c:pt idx="5">
                  <c:v>0.172166</c:v>
                </c:pt>
                <c:pt idx="6">
                  <c:v>0.129125</c:v>
                </c:pt>
                <c:pt idx="7">
                  <c:v>0.120516</c:v>
                </c:pt>
                <c:pt idx="8">
                  <c:v>0.113343</c:v>
                </c:pt>
                <c:pt idx="9">
                  <c:v>0.053085</c:v>
                </c:pt>
                <c:pt idx="10">
                  <c:v>0.040172</c:v>
                </c:pt>
                <c:pt idx="11">
                  <c:v>0.034433</c:v>
                </c:pt>
                <c:pt idx="12">
                  <c:v>0.021521</c:v>
                </c:pt>
                <c:pt idx="13">
                  <c:v>0.007174</c:v>
                </c:pt>
              </c:numCache>
            </c:numRef>
          </c:val>
        </c:ser>
        <c:ser>
          <c:idx val="2"/>
          <c:order val="2"/>
          <c:tx>
            <c:strRef>
              <c:f>Sheet1!$D$1</c:f>
              <c:strCache>
                <c:ptCount val="1"/>
                <c:pt idx="0">
                  <c:v>女性</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Sheet1!$A$2:$A$15</c:f>
              <c:strCache>
                <c:ptCount val="14"/>
                <c:pt idx="0">
                  <c:v>语言及跨文化沟通能力强</c:v>
                </c:pt>
                <c:pt idx="1">
                  <c:v>具有国际视野</c:v>
                </c:pt>
                <c:pt idx="2">
                  <c:v>生活适应能力强，更加独立</c:v>
                </c:pt>
                <c:pt idx="3">
                  <c:v>批判性思考能力强</c:v>
                </c:pt>
                <c:pt idx="4">
                  <c:v>更了解海外市场，容易在海
外市场建立品牌或分销渠道</c:v>
                </c:pt>
                <c:pt idx="5">
                  <c:v>更具创新能力</c:v>
                </c:pt>
                <c:pt idx="6">
                  <c:v>社会交往能力强</c:v>
                </c:pt>
                <c:pt idx="7">
                  <c:v>具备国际合作优势</c:v>
                </c:pt>
                <c:pt idx="8">
                  <c:v>专业优势</c:v>
                </c:pt>
                <c:pt idx="9">
                  <c:v>有助于提升工作能力</c:v>
                </c:pt>
                <c:pt idx="10">
                  <c:v>有助于职务晋升</c:v>
                </c:pt>
                <c:pt idx="11">
                  <c:v>更容易从海外获得必要技术</c:v>
                </c:pt>
                <c:pt idx="12">
                  <c:v>更容易从海外雇用研发人员
或获得海外研发合作伙伴</c:v>
                </c:pt>
                <c:pt idx="13">
                  <c:v>更容易获得海外风险投资</c:v>
                </c:pt>
              </c:strCache>
            </c:strRef>
          </c:cat>
          <c:val>
            <c:numRef>
              <c:f>Sheet1!$D$2:$D$15</c:f>
              <c:numCache>
                <c:ptCount val="14"/>
                <c:pt idx="0">
                  <c:v>0.740276</c:v>
                </c:pt>
                <c:pt idx="1">
                  <c:v>0.583438</c:v>
                </c:pt>
                <c:pt idx="2">
                  <c:v>0.397742</c:v>
                </c:pt>
                <c:pt idx="3">
                  <c:v>0.254705</c:v>
                </c:pt>
                <c:pt idx="4">
                  <c:v>0.170640</c:v>
                </c:pt>
                <c:pt idx="5">
                  <c:v>0.143036</c:v>
                </c:pt>
                <c:pt idx="6">
                  <c:v>0.134253</c:v>
                </c:pt>
                <c:pt idx="7">
                  <c:v>0.110414</c:v>
                </c:pt>
                <c:pt idx="8">
                  <c:v>0.111669</c:v>
                </c:pt>
                <c:pt idx="9">
                  <c:v>0.075282</c:v>
                </c:pt>
                <c:pt idx="10">
                  <c:v>0.025094</c:v>
                </c:pt>
                <c:pt idx="11">
                  <c:v>0.028858</c:v>
                </c:pt>
                <c:pt idx="12">
                  <c:v>0.023839</c:v>
                </c:pt>
                <c:pt idx="13">
                  <c:v>0.001255</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
        <c:minorUnit val="0.1"/>
      </c:valAx>
      <c:spPr>
        <a:noFill/>
        <a:ln w="12700" cap="flat">
          <a:noFill/>
          <a:miter lim="400000"/>
        </a:ln>
        <a:effectLst/>
      </c:spPr>
    </c:plotArea>
    <c:legend>
      <c:legendPos val="b"/>
      <c:layout>
        <c:manualLayout>
          <c:xMode val="edge"/>
          <c:yMode val="edge"/>
          <c:x val="0.357233"/>
          <c:y val="0.931091"/>
          <c:w val="0.326252"/>
          <c:h val="0.0689095"/>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04913"/>
          <c:y val="0.0449305"/>
          <c:w val="0.882325"/>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Sheet1!$A$2:$A$13</c:f>
              <c:strCache>
                <c:ptCount val="12"/>
                <c:pt idx="0">
                  <c:v>不了解国内的就业形势和企业需求</c:v>
                </c:pt>
                <c:pt idx="1">
                  <c:v>缺乏完善的职业规划</c:v>
                </c:pt>
                <c:pt idx="2">
                  <c:v>回国时间晚，错过校招季</c:v>
                </c:pt>
                <c:pt idx="3">
                  <c:v>不适应国内人情社会，难以获得发展机会</c:v>
                </c:pt>
                <c:pt idx="4">
                  <c:v>岗位海投效率低</c:v>
                </c:pt>
                <c:pt idx="5">
                  <c:v>不熟悉国内市场环境，难以找到准确的创业定位</c:v>
                </c:pt>
                <c:pt idx="6">
                  <c:v>所学专业国内没有需求</c:v>
                </c:pt>
                <c:pt idx="7">
                  <c:v>国外获得的一些职业资格和职称国内不被认可</c:v>
                </c:pt>
                <c:pt idx="8">
                  <c:v>语言、专业等方面的技能与国内学生无差别</c:v>
                </c:pt>
                <c:pt idx="9">
                  <c:v>无法享受人才政策优惠</c:v>
                </c:pt>
                <c:pt idx="10">
                  <c:v>受到不公平竞争的侵犯</c:v>
                </c:pt>
                <c:pt idx="11">
                  <c:v>其它</c:v>
                </c:pt>
              </c:strCache>
            </c:strRef>
          </c:cat>
          <c:val>
            <c:numRef>
              <c:f>Sheet1!$B$2:$B$13</c:f>
              <c:numCache>
                <c:ptCount val="12"/>
                <c:pt idx="0">
                  <c:v>0.593708</c:v>
                </c:pt>
                <c:pt idx="1">
                  <c:v>0.320616</c:v>
                </c:pt>
                <c:pt idx="2">
                  <c:v>0.291834</c:v>
                </c:pt>
                <c:pt idx="3">
                  <c:v>0.270415</c:v>
                </c:pt>
                <c:pt idx="4">
                  <c:v>0.216867</c:v>
                </c:pt>
                <c:pt idx="5">
                  <c:v>0.212851</c:v>
                </c:pt>
                <c:pt idx="6">
                  <c:v>0.178046</c:v>
                </c:pt>
                <c:pt idx="7">
                  <c:v>0.151272</c:v>
                </c:pt>
                <c:pt idx="8">
                  <c:v>0.119813</c:v>
                </c:pt>
                <c:pt idx="9">
                  <c:v>0.104418</c:v>
                </c:pt>
                <c:pt idx="10">
                  <c:v>0.080321</c:v>
                </c:pt>
                <c:pt idx="11">
                  <c:v>0.009371</c:v>
                </c:pt>
              </c:numCache>
            </c:numRef>
          </c:val>
        </c:ser>
        <c:axId val="2094734552"/>
        <c:axId val="2094734553"/>
      </c:areaChart>
      <c:barChart>
        <c:barDir val="col"/>
        <c:grouping val="clustered"/>
        <c:varyColors val="0"/>
        <c:ser>
          <c:idx val="1"/>
          <c:order val="1"/>
          <c:tx>
            <c:strRef>
              <c:f>Sheet1!$C$1</c:f>
              <c:strCache>
                <c:ptCount val="1"/>
                <c:pt idx="0">
                  <c:v>男性</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Sheet1!$A$2:$A$13</c:f>
              <c:strCache>
                <c:ptCount val="12"/>
                <c:pt idx="0">
                  <c:v>不了解国内的就业形势和企业需求</c:v>
                </c:pt>
                <c:pt idx="1">
                  <c:v>缺乏完善的职业规划</c:v>
                </c:pt>
                <c:pt idx="2">
                  <c:v>回国时间晚，错过校招季</c:v>
                </c:pt>
                <c:pt idx="3">
                  <c:v>不适应国内人情社会，难以获得发展机会</c:v>
                </c:pt>
                <c:pt idx="4">
                  <c:v>岗位海投效率低</c:v>
                </c:pt>
                <c:pt idx="5">
                  <c:v>不熟悉国内市场环境，难以找到准确的创业定位</c:v>
                </c:pt>
                <c:pt idx="6">
                  <c:v>所学专业国内没有需求</c:v>
                </c:pt>
                <c:pt idx="7">
                  <c:v>国外获得的一些职业资格和职称国内不被认可</c:v>
                </c:pt>
                <c:pt idx="8">
                  <c:v>语言、专业等方面的技能与国内学生无差别</c:v>
                </c:pt>
                <c:pt idx="9">
                  <c:v>无法享受人才政策优惠</c:v>
                </c:pt>
                <c:pt idx="10">
                  <c:v>受到不公平竞争的侵犯</c:v>
                </c:pt>
                <c:pt idx="11">
                  <c:v>其它</c:v>
                </c:pt>
              </c:strCache>
            </c:strRef>
          </c:cat>
          <c:val>
            <c:numRef>
              <c:f>Sheet1!$C$2:$C$13</c:f>
              <c:numCache>
                <c:ptCount val="12"/>
                <c:pt idx="0">
                  <c:v>0.602582</c:v>
                </c:pt>
                <c:pt idx="1">
                  <c:v>0.318508</c:v>
                </c:pt>
                <c:pt idx="2">
                  <c:v>0.286944</c:v>
                </c:pt>
                <c:pt idx="3">
                  <c:v>0.276901</c:v>
                </c:pt>
                <c:pt idx="4">
                  <c:v>0.185079</c:v>
                </c:pt>
                <c:pt idx="5">
                  <c:v>0.218077</c:v>
                </c:pt>
                <c:pt idx="6">
                  <c:v>0.169297</c:v>
                </c:pt>
                <c:pt idx="7">
                  <c:v>0.150646</c:v>
                </c:pt>
                <c:pt idx="8">
                  <c:v>0.121951</c:v>
                </c:pt>
                <c:pt idx="9">
                  <c:v>0.101865</c:v>
                </c:pt>
                <c:pt idx="10">
                  <c:v>0.081779</c:v>
                </c:pt>
                <c:pt idx="11">
                  <c:v>0.010043</c:v>
                </c:pt>
              </c:numCache>
            </c:numRef>
          </c:val>
        </c:ser>
        <c:ser>
          <c:idx val="2"/>
          <c:order val="2"/>
          <c:tx>
            <c:strRef>
              <c:f>Sheet1!$D$1</c:f>
              <c:strCache>
                <c:ptCount val="1"/>
                <c:pt idx="0">
                  <c:v>女性</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Sheet1!$A$2:$A$13</c:f>
              <c:strCache>
                <c:ptCount val="12"/>
                <c:pt idx="0">
                  <c:v>不了解国内的就业形势和企业需求</c:v>
                </c:pt>
                <c:pt idx="1">
                  <c:v>缺乏完善的职业规划</c:v>
                </c:pt>
                <c:pt idx="2">
                  <c:v>回国时间晚，错过校招季</c:v>
                </c:pt>
                <c:pt idx="3">
                  <c:v>不适应国内人情社会，难以获得发展机会</c:v>
                </c:pt>
                <c:pt idx="4">
                  <c:v>岗位海投效率低</c:v>
                </c:pt>
                <c:pt idx="5">
                  <c:v>不熟悉国内市场环境，难以找到准确的创业定位</c:v>
                </c:pt>
                <c:pt idx="6">
                  <c:v>所学专业国内没有需求</c:v>
                </c:pt>
                <c:pt idx="7">
                  <c:v>国外获得的一些职业资格和职称国内不被认可</c:v>
                </c:pt>
                <c:pt idx="8">
                  <c:v>语言、专业等方面的技能与国内学生无差别</c:v>
                </c:pt>
                <c:pt idx="9">
                  <c:v>无法享受人才政策优惠</c:v>
                </c:pt>
                <c:pt idx="10">
                  <c:v>受到不公平竞争的侵犯</c:v>
                </c:pt>
                <c:pt idx="11">
                  <c:v>其它</c:v>
                </c:pt>
              </c:strCache>
            </c:strRef>
          </c:cat>
          <c:val>
            <c:numRef>
              <c:f>Sheet1!$D$2:$D$13</c:f>
              <c:numCache>
                <c:ptCount val="12"/>
                <c:pt idx="0">
                  <c:v>0.585947</c:v>
                </c:pt>
                <c:pt idx="1">
                  <c:v>0.322459</c:v>
                </c:pt>
                <c:pt idx="2">
                  <c:v>0.296110</c:v>
                </c:pt>
                <c:pt idx="3">
                  <c:v>0.264743</c:v>
                </c:pt>
                <c:pt idx="4">
                  <c:v>0.244668</c:v>
                </c:pt>
                <c:pt idx="5">
                  <c:v>0.208281</c:v>
                </c:pt>
                <c:pt idx="6">
                  <c:v>0.185696</c:v>
                </c:pt>
                <c:pt idx="7">
                  <c:v>0.151819</c:v>
                </c:pt>
                <c:pt idx="8">
                  <c:v>0.117942</c:v>
                </c:pt>
                <c:pt idx="9">
                  <c:v>0.106650</c:v>
                </c:pt>
                <c:pt idx="10">
                  <c:v>0.079046</c:v>
                </c:pt>
                <c:pt idx="11">
                  <c:v>0.008783</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75"/>
        <c:minorUnit val="0.0875"/>
      </c:valAx>
      <c:spPr>
        <a:noFill/>
        <a:ln w="12700" cap="flat">
          <a:noFill/>
          <a:miter lim="400000"/>
        </a:ln>
        <a:effectLst/>
      </c:spPr>
    </c:plotArea>
    <c:legend>
      <c:legendPos val="b"/>
      <c:layout>
        <c:manualLayout>
          <c:xMode val="edge"/>
          <c:yMode val="edge"/>
          <c:x val="0.358436"/>
          <c:y val="0.92909"/>
          <c:w val="0.345955"/>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Sheet1!$A$2:$A$4</c:f>
              <c:strCache>
                <c:ptCount val="3"/>
                <c:pt idx="0">
                  <c:v>顺利实现融入</c:v>
                </c:pt>
                <c:pt idx="1">
                  <c:v>有困难，但能渐渐融入</c:v>
                </c:pt>
                <c:pt idx="2">
                  <c:v>始终无法融入</c:v>
                </c:pt>
              </c:strCache>
            </c:strRef>
          </c:cat>
          <c:val>
            <c:numRef>
              <c:f>Sheet1!$B$2:$B$4</c:f>
              <c:numCache>
                <c:ptCount val="3"/>
                <c:pt idx="0">
                  <c:v>0.484605</c:v>
                </c:pt>
                <c:pt idx="1">
                  <c:v>0.481258</c:v>
                </c:pt>
                <c:pt idx="2">
                  <c:v>0.034137</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Sheet1!$A$2:$A$4</c:f>
              <c:strCache>
                <c:ptCount val="3"/>
                <c:pt idx="0">
                  <c:v>顺利实现融入</c:v>
                </c:pt>
                <c:pt idx="1">
                  <c:v>有困难，但能渐渐融入</c:v>
                </c:pt>
                <c:pt idx="2">
                  <c:v>始终无法融入</c:v>
                </c:pt>
              </c:strCache>
            </c:strRef>
          </c:cat>
          <c:val>
            <c:numRef>
              <c:f>Sheet1!$C$2:$C$4</c:f>
              <c:numCache>
                <c:ptCount val="3"/>
                <c:pt idx="0">
                  <c:v>0.509326</c:v>
                </c:pt>
                <c:pt idx="1">
                  <c:v>0.453372</c:v>
                </c:pt>
                <c:pt idx="2">
                  <c:v>0.037303</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Sheet1!$A$2:$A$4</c:f>
              <c:strCache>
                <c:ptCount val="3"/>
                <c:pt idx="0">
                  <c:v>顺利实现融入</c:v>
                </c:pt>
                <c:pt idx="1">
                  <c:v>有困难，但能渐渐融入</c:v>
                </c:pt>
                <c:pt idx="2">
                  <c:v>始终无法融入</c:v>
                </c:pt>
              </c:strCache>
            </c:strRef>
          </c:cat>
          <c:val>
            <c:numRef>
              <c:f>Sheet1!$D$2:$D$4</c:f>
              <c:numCache>
                <c:ptCount val="3"/>
                <c:pt idx="0">
                  <c:v>0.462986</c:v>
                </c:pt>
                <c:pt idx="1">
                  <c:v>0.505646</c:v>
                </c:pt>
                <c:pt idx="2">
                  <c:v>0.031368</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1年以下</c:v>
                </c:pt>
                <c:pt idx="1">
                  <c:v>1-3年</c:v>
                </c:pt>
                <c:pt idx="2">
                  <c:v>4-6年</c:v>
                </c:pt>
                <c:pt idx="3">
                  <c:v>7-10年</c:v>
                </c:pt>
                <c:pt idx="4">
                  <c:v>10年以上</c:v>
                </c:pt>
              </c:strCache>
            </c:strRef>
          </c:cat>
          <c:val>
            <c:numRef>
              <c:f>Sheet1!$B$2:$B$6</c:f>
              <c:numCache>
                <c:ptCount val="5"/>
                <c:pt idx="0">
                  <c:v>0.046854</c:v>
                </c:pt>
                <c:pt idx="1">
                  <c:v>0.287149</c:v>
                </c:pt>
                <c:pt idx="2">
                  <c:v>0.346720</c:v>
                </c:pt>
                <c:pt idx="3">
                  <c:v>0.159973</c:v>
                </c:pt>
                <c:pt idx="4">
                  <c:v>0.159304</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1年以下</c:v>
                </c:pt>
                <c:pt idx="1">
                  <c:v>1-3年</c:v>
                </c:pt>
                <c:pt idx="2">
                  <c:v>4-6年</c:v>
                </c:pt>
                <c:pt idx="3">
                  <c:v>7-10年</c:v>
                </c:pt>
                <c:pt idx="4">
                  <c:v>10年以上</c:v>
                </c:pt>
              </c:strCache>
            </c:strRef>
          </c:cat>
          <c:val>
            <c:numRef>
              <c:f>Sheet1!$C$2:$C$6</c:f>
              <c:numCache>
                <c:ptCount val="5"/>
                <c:pt idx="0">
                  <c:v>0.043042</c:v>
                </c:pt>
                <c:pt idx="1">
                  <c:v>0.296987</c:v>
                </c:pt>
                <c:pt idx="2">
                  <c:v>0.348637</c:v>
                </c:pt>
                <c:pt idx="3">
                  <c:v>0.154950</c:v>
                </c:pt>
                <c:pt idx="4">
                  <c:v>0.156385</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1年以下</c:v>
                </c:pt>
                <c:pt idx="1">
                  <c:v>1-3年</c:v>
                </c:pt>
                <c:pt idx="2">
                  <c:v>4-6年</c:v>
                </c:pt>
                <c:pt idx="3">
                  <c:v>7-10年</c:v>
                </c:pt>
                <c:pt idx="4">
                  <c:v>10年以上</c:v>
                </c:pt>
              </c:strCache>
            </c:strRef>
          </c:cat>
          <c:val>
            <c:numRef>
              <c:f>Sheet1!$D$2:$D$6</c:f>
              <c:numCache>
                <c:ptCount val="5"/>
                <c:pt idx="0">
                  <c:v>0.050188</c:v>
                </c:pt>
                <c:pt idx="1">
                  <c:v>0.278545</c:v>
                </c:pt>
                <c:pt idx="2">
                  <c:v>0.345044</c:v>
                </c:pt>
                <c:pt idx="3">
                  <c:v>0.164366</c:v>
                </c:pt>
                <c:pt idx="4">
                  <c:v>0.161857</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
        <c:minorUnit val="0.0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9875"/>
        </c:manualLayout>
      </c:layout>
      <c:doughnutChart>
        <c:varyColors val="0"/>
        <c:ser>
          <c:idx val="0"/>
          <c:order val="0"/>
          <c:tx>
            <c:strRef>
              <c:f>Sheet1!$A$2</c:f>
              <c:strCache>
                <c:ptCount val="1"/>
                <c:pt idx="0">
                  <c:v>女</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Lbls>
            <c:dLbl>
              <c:idx val="0"/>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1"/>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2"/>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3"/>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4"/>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5"/>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6"/>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7"/>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8"/>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9"/>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10"/>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1"/>
            <c:leaderLines>
              <c:spPr>
                <a:noFill/>
                <a:ln w="6350" cap="flat">
                  <a:solidFill>
                    <a:srgbClr val="000000"/>
                  </a:solidFill>
                  <a:prstDash val="solid"/>
                  <a:miter lim="400000"/>
                </a:ln>
                <a:effectLst/>
              </c:spPr>
            </c:leaderLines>
          </c:dLbls>
          <c:cat>
            <c:strRef>
              <c:f>Sheet1!$B$1:$L$1</c:f>
              <c:strCache>
                <c:ptCount val="11"/>
                <c:pt idx="0">
                  <c:v>就业</c:v>
                </c:pt>
                <c:pt idx="1">
                  <c:v>求职</c:v>
                </c:pt>
                <c:pt idx="2">
                  <c:v>创业</c:v>
                </c:pt>
                <c:pt idx="3">
                  <c:v>其它</c:v>
                </c:pt>
                <c:pt idx="4">
                  <c:v>离职</c:v>
                </c:pt>
                <c:pt idx="5">
                  <c:v>无业</c:v>
                </c:pt>
                <c:pt idx="6">
                  <c:v>创业+就业</c:v>
                </c:pt>
                <c:pt idx="7">
                  <c:v>失业</c:v>
                </c:pt>
                <c:pt idx="8">
                  <c:v>求学</c:v>
                </c:pt>
                <c:pt idx="9">
                  <c:v>家庭全职</c:v>
                </c:pt>
                <c:pt idx="10">
                  <c:v>退休</c:v>
                </c:pt>
              </c:strCache>
            </c:strRef>
          </c:cat>
          <c:val>
            <c:numRef>
              <c:f>Sheet1!$B$2:$L$2</c:f>
              <c:numCache>
                <c:ptCount val="11"/>
                <c:pt idx="0">
                  <c:v>0.717691</c:v>
                </c:pt>
                <c:pt idx="1">
                  <c:v>0.185696</c:v>
                </c:pt>
                <c:pt idx="2">
                  <c:v>0.035132</c:v>
                </c:pt>
                <c:pt idx="3">
                  <c:v>0.025094</c:v>
                </c:pt>
                <c:pt idx="4">
                  <c:v>0.013802</c:v>
                </c:pt>
                <c:pt idx="5">
                  <c:v>0.005019</c:v>
                </c:pt>
                <c:pt idx="6">
                  <c:v>0.005019</c:v>
                </c:pt>
                <c:pt idx="7">
                  <c:v>0.003764</c:v>
                </c:pt>
                <c:pt idx="8">
                  <c:v>0.003764</c:v>
                </c:pt>
                <c:pt idx="9">
                  <c:v>0.005019</c:v>
                </c:pt>
                <c:pt idx="10">
                  <c:v>0.000000</c:v>
                </c:pt>
              </c:numCache>
            </c:numRef>
          </c:val>
        </c:ser>
        <c:ser>
          <c:idx val="0"/>
          <c:order val="1"/>
          <c:tx>
            <c:strRef>
              <c:f>Sheet1!$A$3</c:f>
              <c:strCache>
                <c:ptCount val="1"/>
                <c:pt idx="1">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Lbls>
            <c:dLbl>
              <c:idx val="0"/>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1"/>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2"/>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3"/>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4"/>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5"/>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6"/>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7"/>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8"/>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9"/>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10"/>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1"/>
            <c:leaderLines>
              <c:spPr>
                <a:noFill/>
                <a:ln w="6350" cap="flat">
                  <a:solidFill>
                    <a:srgbClr val="000000"/>
                  </a:solidFill>
                  <a:prstDash val="solid"/>
                  <a:miter lim="400000"/>
                </a:ln>
                <a:effectLst/>
              </c:spPr>
            </c:leaderLines>
          </c:dLbls>
          <c:cat>
            <c:strRef>
              <c:f>Sheet1!$B$1:$L$1</c:f>
              <c:strCache>
                <c:ptCount val="11"/>
                <c:pt idx="0">
                  <c:v>就业</c:v>
                </c:pt>
                <c:pt idx="1">
                  <c:v>求职</c:v>
                </c:pt>
                <c:pt idx="2">
                  <c:v>创业</c:v>
                </c:pt>
                <c:pt idx="3">
                  <c:v>其它</c:v>
                </c:pt>
                <c:pt idx="4">
                  <c:v>离职</c:v>
                </c:pt>
                <c:pt idx="5">
                  <c:v>无业</c:v>
                </c:pt>
                <c:pt idx="6">
                  <c:v>创业+就业</c:v>
                </c:pt>
                <c:pt idx="7">
                  <c:v>失业</c:v>
                </c:pt>
                <c:pt idx="8">
                  <c:v>求学</c:v>
                </c:pt>
                <c:pt idx="9">
                  <c:v>家庭全职</c:v>
                </c:pt>
                <c:pt idx="10">
                  <c:v>退休</c:v>
                </c:pt>
              </c:strCache>
            </c:strRef>
          </c:cat>
          <c:val>
            <c:numRef>
              <c:f>Sheet1!$B$3:$L$3</c:f>
              <c:numCache>
                <c:ptCount val="11"/>
                <c:pt idx="0">
                  <c:v>0.725968</c:v>
                </c:pt>
                <c:pt idx="1">
                  <c:v>0.139168</c:v>
                </c:pt>
                <c:pt idx="2">
                  <c:v>0.061693</c:v>
                </c:pt>
                <c:pt idx="3">
                  <c:v>0.027260</c:v>
                </c:pt>
                <c:pt idx="4">
                  <c:v>0.012912</c:v>
                </c:pt>
                <c:pt idx="5">
                  <c:v>0.015782</c:v>
                </c:pt>
                <c:pt idx="6">
                  <c:v>0.005739</c:v>
                </c:pt>
                <c:pt idx="7">
                  <c:v>0.005739</c:v>
                </c:pt>
                <c:pt idx="8">
                  <c:v>0.004304</c:v>
                </c:pt>
                <c:pt idx="9">
                  <c:v>0.000000</c:v>
                </c:pt>
                <c:pt idx="10">
                  <c:v>0.001435</c:v>
                </c:pt>
              </c:numCache>
            </c:numRef>
          </c:val>
        </c:ser>
        <c:ser>
          <c:idx val="0"/>
          <c:order val="2"/>
          <c:tx>
            <c:strRef>
              <c:f>Sheet1!$A$4</c:f>
              <c:strCache>
                <c:ptCount val="1"/>
                <c:pt idx="2">
                  <c:v>总计</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Pt>
            <c:idx val="4"/>
            <c:explosion val="0"/>
            <c:spPr>
              <a:gradFill flip="none" rotWithShape="1">
                <a:gsLst>
                  <a:gs pos="0">
                    <a:srgbClr val="5F82CB"/>
                  </a:gs>
                  <a:gs pos="50000">
                    <a:srgbClr val="3E70CA"/>
                  </a:gs>
                  <a:gs pos="100000">
                    <a:srgbClr val="2F61BA"/>
                  </a:gs>
                </a:gsLst>
                <a:lin ang="5400000" scaled="0"/>
              </a:gradFill>
              <a:ln w="12700" cap="flat">
                <a:noFill/>
                <a:miter lim="400000"/>
              </a:ln>
              <a:effectLst/>
            </c:spPr>
          </c:dPt>
          <c:dPt>
            <c:idx val="5"/>
            <c:explosion val="0"/>
            <c:spPr>
              <a:gradFill flip="none" rotWithShape="1">
                <a:gsLst>
                  <a:gs pos="0">
                    <a:srgbClr val="80B860"/>
                  </a:gs>
                  <a:gs pos="50000">
                    <a:srgbClr val="6FB242"/>
                  </a:gs>
                  <a:gs pos="100000">
                    <a:srgbClr val="61A236"/>
                  </a:gs>
                </a:gsLst>
                <a:lin ang="5400000" scaled="0"/>
              </a:gradFill>
              <a:ln w="12700" cap="flat">
                <a:noFill/>
                <a:miter lim="400000"/>
              </a:ln>
              <a:effectLst/>
            </c:spPr>
          </c:dPt>
          <c:dPt>
            <c:idx val="6"/>
            <c:explosion val="0"/>
            <c:spPr>
              <a:gradFill flip="none" rotWithShape="1">
                <a:gsLst>
                  <a:gs pos="0">
                    <a:srgbClr val="4E729F"/>
                  </a:gs>
                  <a:gs pos="50000">
                    <a:srgbClr val="205E97"/>
                  </a:gs>
                  <a:gs pos="100000">
                    <a:srgbClr val="17538A"/>
                  </a:gs>
                </a:gsLst>
                <a:lin ang="5400000" scaled="0"/>
              </a:gradFill>
              <a:ln w="12700" cap="flat">
                <a:noFill/>
                <a:miter lim="400000"/>
              </a:ln>
              <a:effectLst/>
            </c:spPr>
          </c:dPt>
          <c:dPt>
            <c:idx val="7"/>
            <c:explosion val="0"/>
            <c:spPr>
              <a:gradFill flip="none" rotWithShape="1">
                <a:gsLst>
                  <a:gs pos="0">
                    <a:srgbClr val="AA6148"/>
                  </a:gs>
                  <a:gs pos="50000">
                    <a:srgbClr val="A54707"/>
                  </a:gs>
                  <a:gs pos="100000">
                    <a:srgbClr val="983D00"/>
                  </a:gs>
                </a:gsLst>
                <a:lin ang="5400000" scaled="0"/>
              </a:gradFill>
              <a:ln w="12700" cap="flat">
                <a:noFill/>
                <a:miter lim="400000"/>
              </a:ln>
              <a:effectLst/>
            </c:spPr>
          </c:dPt>
          <c:dPt>
            <c:idx val="8"/>
            <c:explosion val="0"/>
            <c:spPr>
              <a:gradFill flip="none" rotWithShape="1">
                <a:gsLst>
                  <a:gs pos="0">
                    <a:srgbClr val="767676"/>
                  </a:gs>
                  <a:gs pos="50000">
                    <a:srgbClr val="636363"/>
                  </a:gs>
                  <a:gs pos="100000">
                    <a:srgbClr val="585858"/>
                  </a:gs>
                </a:gsLst>
                <a:lin ang="5400000" scaled="0"/>
              </a:gradFill>
              <a:ln w="12700" cap="flat">
                <a:noFill/>
                <a:miter lim="400000"/>
              </a:ln>
              <a:effectLst/>
            </c:spPr>
          </c:dPt>
          <c:dPt>
            <c:idx val="9"/>
            <c:explosion val="0"/>
            <c:spPr>
              <a:gradFill flip="none" rotWithShape="1">
                <a:gsLst>
                  <a:gs pos="0">
                    <a:srgbClr val="A48347"/>
                  </a:gs>
                  <a:gs pos="50000">
                    <a:srgbClr val="997300"/>
                  </a:gs>
                  <a:gs pos="100000">
                    <a:srgbClr val="876600"/>
                  </a:gs>
                </a:gsLst>
                <a:lin ang="5400000" scaled="0"/>
              </a:gradFill>
              <a:ln w="12700" cap="flat">
                <a:noFill/>
                <a:miter lim="400000"/>
              </a:ln>
              <a:effectLst/>
            </c:spPr>
          </c:dPt>
          <c:dPt>
            <c:idx val="10"/>
            <c:explosion val="0"/>
            <c:spPr>
              <a:gradFill flip="none" rotWithShape="1">
                <a:gsLst>
                  <a:gs pos="0">
                    <a:srgbClr val="4E5E88"/>
                  </a:gs>
                  <a:gs pos="50000">
                    <a:srgbClr val="22427D"/>
                  </a:gs>
                  <a:gs pos="100000">
                    <a:srgbClr val="1A3A72"/>
                  </a:gs>
                </a:gsLst>
                <a:lin ang="5400000" scaled="0"/>
              </a:gradFill>
              <a:ln w="12700" cap="flat">
                <a:noFill/>
                <a:miter lim="400000"/>
              </a:ln>
              <a:effectLst/>
            </c:spPr>
          </c:dPt>
          <c:dLbls>
            <c:dLbl>
              <c:idx val="0"/>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1"/>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2"/>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3"/>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4"/>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5"/>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6"/>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7"/>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8"/>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9"/>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dLbl>
              <c:idx val="10"/>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dLbl>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1"/>
            <c:leaderLines>
              <c:spPr>
                <a:noFill/>
                <a:ln w="6350" cap="flat">
                  <a:solidFill>
                    <a:srgbClr val="000000"/>
                  </a:solidFill>
                  <a:prstDash val="solid"/>
                  <a:miter lim="400000"/>
                </a:ln>
                <a:effectLst/>
              </c:spPr>
            </c:leaderLines>
          </c:dLbls>
          <c:cat>
            <c:strRef>
              <c:f>Sheet1!$B$1:$L$1</c:f>
              <c:strCache>
                <c:ptCount val="11"/>
                <c:pt idx="0">
                  <c:v>就业</c:v>
                </c:pt>
                <c:pt idx="1">
                  <c:v>求职</c:v>
                </c:pt>
                <c:pt idx="2">
                  <c:v>创业</c:v>
                </c:pt>
                <c:pt idx="3">
                  <c:v>其它</c:v>
                </c:pt>
                <c:pt idx="4">
                  <c:v>离职</c:v>
                </c:pt>
                <c:pt idx="5">
                  <c:v>无业</c:v>
                </c:pt>
                <c:pt idx="6">
                  <c:v>创业+就业</c:v>
                </c:pt>
                <c:pt idx="7">
                  <c:v>失业</c:v>
                </c:pt>
                <c:pt idx="8">
                  <c:v>求学</c:v>
                </c:pt>
                <c:pt idx="9">
                  <c:v>家庭全职</c:v>
                </c:pt>
                <c:pt idx="10">
                  <c:v>退休</c:v>
                </c:pt>
              </c:strCache>
            </c:strRef>
          </c:cat>
          <c:val>
            <c:numRef>
              <c:f>Sheet1!$B$4:$L$4</c:f>
              <c:numCache>
                <c:ptCount val="11"/>
                <c:pt idx="0">
                  <c:v>0.721553</c:v>
                </c:pt>
                <c:pt idx="1">
                  <c:v>0.163989</c:v>
                </c:pt>
                <c:pt idx="2">
                  <c:v>0.047523</c:v>
                </c:pt>
                <c:pt idx="3">
                  <c:v>0.026104</c:v>
                </c:pt>
                <c:pt idx="4">
                  <c:v>0.013387</c:v>
                </c:pt>
                <c:pt idx="5">
                  <c:v>0.010040</c:v>
                </c:pt>
                <c:pt idx="6">
                  <c:v>0.005355</c:v>
                </c:pt>
                <c:pt idx="7">
                  <c:v>0.004685</c:v>
                </c:pt>
                <c:pt idx="8">
                  <c:v>0.004016</c:v>
                </c:pt>
                <c:pt idx="9">
                  <c:v>0.002677</c:v>
                </c:pt>
                <c:pt idx="10">
                  <c:v>0.000669</c:v>
                </c:pt>
              </c:numCache>
            </c:numRef>
          </c:val>
        </c:ser>
        <c:firstSliceAng val="0"/>
        <c:holeSize val="50"/>
      </c:doughnutChart>
      <c:spPr>
        <a:noFill/>
        <a:ln w="12700" cap="flat">
          <a:noFill/>
          <a:miter lim="400000"/>
        </a:ln>
        <a:effectLst/>
      </c:spPr>
    </c:plotArea>
    <c:plotVisOnly val="1"/>
    <c:dispBlanksAs val="gap"/>
  </c:chart>
  <c:spPr>
    <a:solidFill>
      <a:srgbClr val="C0EBC7"/>
    </a:solidFill>
    <a:ln>
      <a:noFill/>
    </a:ln>
    <a:effectLst/>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718176"/>
          <c:y val="0.0351365"/>
          <c:w val="0.820599"/>
          <c:h val="0.4274"/>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Sheet1!$A$2:$A$10</c:f>
              <c:strCache>
                <c:ptCount val="9"/>
                <c:pt idx="0">
                  <c:v>招聘网站、APP投递简历</c:v>
                </c:pt>
                <c:pt idx="1">
                  <c:v>直接向意向单位投递简历</c:v>
                </c:pt>
                <c:pt idx="2">
                  <c:v>家人或者亲戚朋友推荐</c:v>
                </c:pt>
                <c:pt idx="3">
                  <c:v>猎头、人力资源公司等中介</c:v>
                </c:pt>
                <c:pt idx="4">
                  <c:v>线下的人才招聘活动</c:v>
                </c:pt>
                <c:pt idx="5">
                  <c:v>社交媒体发布的招聘信息</c:v>
                </c:pt>
                <c:pt idx="6">
                  <c:v>参加政府宣讲、企事业单位招聘等海外招聘活动</c:v>
                </c:pt>
                <c:pt idx="7">
                  <c:v>其它</c:v>
                </c:pt>
                <c:pt idx="8">
                  <c:v>参加公务员考试等政府渠道招聘</c:v>
                </c:pt>
              </c:strCache>
            </c:strRef>
          </c:cat>
          <c:val>
            <c:numRef>
              <c:f>Sheet1!$B$2:$B$10</c:f>
              <c:numCache>
                <c:ptCount val="9"/>
                <c:pt idx="0">
                  <c:v>0.489796</c:v>
                </c:pt>
                <c:pt idx="1">
                  <c:v>0.218924</c:v>
                </c:pt>
                <c:pt idx="2">
                  <c:v>0.190167</c:v>
                </c:pt>
                <c:pt idx="3">
                  <c:v>0.038961</c:v>
                </c:pt>
                <c:pt idx="4">
                  <c:v>0.017625</c:v>
                </c:pt>
                <c:pt idx="5">
                  <c:v>0.014842</c:v>
                </c:pt>
                <c:pt idx="6">
                  <c:v>0.013915</c:v>
                </c:pt>
                <c:pt idx="7">
                  <c:v>0.010204</c:v>
                </c:pt>
                <c:pt idx="8">
                  <c:v>0.005566</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招聘网站、APP投递简历</c:v>
                </c:pt>
                <c:pt idx="1">
                  <c:v>直接向意向单位投递简历</c:v>
                </c:pt>
                <c:pt idx="2">
                  <c:v>家人或者亲戚朋友推荐</c:v>
                </c:pt>
                <c:pt idx="3">
                  <c:v>猎头、人力资源公司等中介</c:v>
                </c:pt>
                <c:pt idx="4">
                  <c:v>线下的人才招聘活动</c:v>
                </c:pt>
                <c:pt idx="5">
                  <c:v>社交媒体发布的招聘信息</c:v>
                </c:pt>
                <c:pt idx="6">
                  <c:v>参加政府宣讲、企事业单位招聘等海外招聘活动</c:v>
                </c:pt>
                <c:pt idx="7">
                  <c:v>其它</c:v>
                </c:pt>
                <c:pt idx="8">
                  <c:v>参加公务员考试等政府渠道招聘</c:v>
                </c:pt>
              </c:strCache>
            </c:strRef>
          </c:cat>
          <c:val>
            <c:numRef>
              <c:f>Sheet1!$C$2:$C$10</c:f>
              <c:numCache>
                <c:ptCount val="9"/>
                <c:pt idx="0">
                  <c:v>0.442688</c:v>
                </c:pt>
                <c:pt idx="1">
                  <c:v>0.266798</c:v>
                </c:pt>
                <c:pt idx="2">
                  <c:v>0.175889</c:v>
                </c:pt>
                <c:pt idx="3">
                  <c:v>0.043478</c:v>
                </c:pt>
                <c:pt idx="4">
                  <c:v>0.025692</c:v>
                </c:pt>
                <c:pt idx="5">
                  <c:v>0.013834</c:v>
                </c:pt>
                <c:pt idx="6">
                  <c:v>0.011858</c:v>
                </c:pt>
                <c:pt idx="7">
                  <c:v>0.011858</c:v>
                </c:pt>
                <c:pt idx="8">
                  <c:v>0.007905</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招聘网站、APP投递简历</c:v>
                </c:pt>
                <c:pt idx="1">
                  <c:v>直接向意向单位投递简历</c:v>
                </c:pt>
                <c:pt idx="2">
                  <c:v>家人或者亲戚朋友推荐</c:v>
                </c:pt>
                <c:pt idx="3">
                  <c:v>猎头、人力资源公司等中介</c:v>
                </c:pt>
                <c:pt idx="4">
                  <c:v>线下的人才招聘活动</c:v>
                </c:pt>
                <c:pt idx="5">
                  <c:v>社交媒体发布的招聘信息</c:v>
                </c:pt>
                <c:pt idx="6">
                  <c:v>参加政府宣讲、企事业单位招聘等海外招聘活动</c:v>
                </c:pt>
                <c:pt idx="7">
                  <c:v>其它</c:v>
                </c:pt>
                <c:pt idx="8">
                  <c:v>参加公务员考试等政府渠道招聘</c:v>
                </c:pt>
              </c:strCache>
            </c:strRef>
          </c:cat>
          <c:val>
            <c:numRef>
              <c:f>Sheet1!$D$2:$D$10</c:f>
              <c:numCache>
                <c:ptCount val="9"/>
                <c:pt idx="0">
                  <c:v>0.531469</c:v>
                </c:pt>
                <c:pt idx="1">
                  <c:v>0.176573</c:v>
                </c:pt>
                <c:pt idx="2">
                  <c:v>0.202797</c:v>
                </c:pt>
                <c:pt idx="3">
                  <c:v>0.034965</c:v>
                </c:pt>
                <c:pt idx="4">
                  <c:v>0.010490</c:v>
                </c:pt>
                <c:pt idx="5">
                  <c:v>0.015734</c:v>
                </c:pt>
                <c:pt idx="6">
                  <c:v>0.015734</c:v>
                </c:pt>
                <c:pt idx="7">
                  <c:v>0.008741</c:v>
                </c:pt>
                <c:pt idx="8">
                  <c:v>0.003497</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21594"/>
          <c:y val="0.941823"/>
          <c:w val="0.296424"/>
          <c:h val="0.0581774"/>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Sheet1!$A$2:$A$5</c:f>
              <c:strCache>
                <c:ptCount val="4"/>
                <c:pt idx="0">
                  <c:v>单身</c:v>
                </c:pt>
                <c:pt idx="1">
                  <c:v>未婚，已有男/女朋友</c:v>
                </c:pt>
                <c:pt idx="2">
                  <c:v>已婚</c:v>
                </c:pt>
                <c:pt idx="3">
                  <c:v>离异</c:v>
                </c:pt>
              </c:strCache>
            </c:strRef>
          </c:cat>
          <c:val>
            <c:numRef>
              <c:f>Sheet1!$B$2:$B$5</c:f>
              <c:numCache>
                <c:ptCount val="4"/>
                <c:pt idx="0">
                  <c:v>0.465863</c:v>
                </c:pt>
                <c:pt idx="1">
                  <c:v>0.294511</c:v>
                </c:pt>
                <c:pt idx="2">
                  <c:v>0.225569</c:v>
                </c:pt>
                <c:pt idx="3">
                  <c:v>0.014056</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单身</c:v>
                </c:pt>
                <c:pt idx="1">
                  <c:v>未婚，已有男/女朋友</c:v>
                </c:pt>
                <c:pt idx="2">
                  <c:v>已婚</c:v>
                </c:pt>
                <c:pt idx="3">
                  <c:v>离异</c:v>
                </c:pt>
              </c:strCache>
            </c:strRef>
          </c:cat>
          <c:val>
            <c:numRef>
              <c:f>Sheet1!$C$2:$C$5</c:f>
              <c:numCache>
                <c:ptCount val="4"/>
                <c:pt idx="0">
                  <c:v>0.423242</c:v>
                </c:pt>
                <c:pt idx="1">
                  <c:v>0.298422</c:v>
                </c:pt>
                <c:pt idx="2">
                  <c:v>0.265423</c:v>
                </c:pt>
                <c:pt idx="3">
                  <c:v>0.012912</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单身</c:v>
                </c:pt>
                <c:pt idx="1">
                  <c:v>未婚，已有男/女朋友</c:v>
                </c:pt>
                <c:pt idx="2">
                  <c:v>已婚</c:v>
                </c:pt>
                <c:pt idx="3">
                  <c:v>离异</c:v>
                </c:pt>
              </c:strCache>
            </c:strRef>
          </c:cat>
          <c:val>
            <c:numRef>
              <c:f>Sheet1!$D$2:$D$5</c:f>
              <c:numCache>
                <c:ptCount val="4"/>
                <c:pt idx="0">
                  <c:v>0.503137</c:v>
                </c:pt>
                <c:pt idx="1">
                  <c:v>0.291092</c:v>
                </c:pt>
                <c:pt idx="2">
                  <c:v>0.190715</c:v>
                </c:pt>
                <c:pt idx="3">
                  <c:v>0.015056</c:v>
                </c:pt>
              </c:numCache>
            </c:numRef>
          </c:val>
        </c:ser>
        <c:gapWidth val="219"/>
        <c:overlap val="-27"/>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1个月以内</c:v>
                </c:pt>
                <c:pt idx="1">
                  <c:v>1-3个月</c:v>
                </c:pt>
                <c:pt idx="2">
                  <c:v>4-6个月</c:v>
                </c:pt>
                <c:pt idx="3">
                  <c:v>7-12个月</c:v>
                </c:pt>
                <c:pt idx="4">
                  <c:v>1年以上</c:v>
                </c:pt>
              </c:strCache>
            </c:strRef>
          </c:cat>
          <c:val>
            <c:numRef>
              <c:f>Sheet1!$B$2:$B$6</c:f>
              <c:numCache>
                <c:ptCount val="5"/>
                <c:pt idx="0">
                  <c:v>0.417440</c:v>
                </c:pt>
                <c:pt idx="1">
                  <c:v>0.409091</c:v>
                </c:pt>
                <c:pt idx="2">
                  <c:v>0.126160</c:v>
                </c:pt>
                <c:pt idx="3">
                  <c:v>0.027829</c:v>
                </c:pt>
                <c:pt idx="4">
                  <c:v>0.019481</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1个月以内</c:v>
                </c:pt>
                <c:pt idx="1">
                  <c:v>1-3个月</c:v>
                </c:pt>
                <c:pt idx="2">
                  <c:v>4-6个月</c:v>
                </c:pt>
                <c:pt idx="3">
                  <c:v>7-12个月</c:v>
                </c:pt>
                <c:pt idx="4">
                  <c:v>1年以上</c:v>
                </c:pt>
              </c:strCache>
            </c:strRef>
          </c:cat>
          <c:val>
            <c:numRef>
              <c:f>Sheet1!$C$2:$C$6</c:f>
              <c:numCache>
                <c:ptCount val="5"/>
                <c:pt idx="0">
                  <c:v>0.426877</c:v>
                </c:pt>
                <c:pt idx="1">
                  <c:v>0.401186</c:v>
                </c:pt>
                <c:pt idx="2">
                  <c:v>0.124506</c:v>
                </c:pt>
                <c:pt idx="3">
                  <c:v>0.021739</c:v>
                </c:pt>
                <c:pt idx="4">
                  <c:v>0.025692</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1个月以内</c:v>
                </c:pt>
                <c:pt idx="1">
                  <c:v>1-3个月</c:v>
                </c:pt>
                <c:pt idx="2">
                  <c:v>4-6个月</c:v>
                </c:pt>
                <c:pt idx="3">
                  <c:v>7-12个月</c:v>
                </c:pt>
                <c:pt idx="4">
                  <c:v>1年以上</c:v>
                </c:pt>
              </c:strCache>
            </c:strRef>
          </c:cat>
          <c:val>
            <c:numRef>
              <c:f>Sheet1!$D$2:$D$6</c:f>
              <c:numCache>
                <c:ptCount val="5"/>
                <c:pt idx="0">
                  <c:v>0.409091</c:v>
                </c:pt>
                <c:pt idx="1">
                  <c:v>0.416084</c:v>
                </c:pt>
                <c:pt idx="2">
                  <c:v>0.127622</c:v>
                </c:pt>
                <c:pt idx="3">
                  <c:v>0.033217</c:v>
                </c:pt>
                <c:pt idx="4">
                  <c:v>0.013986</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333451"/>
          <c:w val="0.922812"/>
          <c:h val="0.84582"/>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Sheet1!$A$2:$A$22</c:f>
              <c:strCache>
                <c:ptCount val="21"/>
                <c:pt idx="0">
                  <c:v>金融业</c:v>
                </c:pt>
                <c:pt idx="1">
                  <c:v>信息传输、软件和信息技术服务业</c:v>
                </c:pt>
                <c:pt idx="2">
                  <c:v>制造业</c:v>
                </c:pt>
                <c:pt idx="3">
                  <c:v>教育</c:v>
                </c:pt>
                <c:pt idx="4">
                  <c:v>批发和零售业</c:v>
                </c:pt>
                <c:pt idx="5">
                  <c:v>文化、体育和娱乐业</c:v>
                </c:pt>
                <c:pt idx="6">
                  <c:v>租赁和商务服务业</c:v>
                </c:pt>
                <c:pt idx="7">
                  <c:v>科学研究和技术服务业</c:v>
                </c:pt>
                <c:pt idx="8">
                  <c:v>房地产业</c:v>
                </c:pt>
                <c:pt idx="9">
                  <c:v>建筑业</c:v>
                </c:pt>
                <c:pt idx="10">
                  <c:v>住宿和餐饮业</c:v>
                </c:pt>
                <c:pt idx="11">
                  <c:v>电力、热力、燃气及水生产和供应业</c:v>
                </c:pt>
                <c:pt idx="12">
                  <c:v>交通运输、仓储和邮政业</c:v>
                </c:pt>
                <c:pt idx="13">
                  <c:v>公共管理、社会保障和社会组织</c:v>
                </c:pt>
                <c:pt idx="14">
                  <c:v>卫生和社会工作</c:v>
                </c:pt>
                <c:pt idx="15">
                  <c:v>水利、环境和公共设施管理业</c:v>
                </c:pt>
                <c:pt idx="16">
                  <c:v>农林牧渔业</c:v>
                </c:pt>
                <c:pt idx="17">
                  <c:v>居民服务、修理和其它服务业</c:v>
                </c:pt>
                <c:pt idx="18">
                  <c:v>国际组织</c:v>
                </c:pt>
                <c:pt idx="19">
                  <c:v>采矿业</c:v>
                </c:pt>
                <c:pt idx="20">
                  <c:v>其它</c:v>
                </c:pt>
              </c:strCache>
            </c:strRef>
          </c:cat>
          <c:val>
            <c:numRef>
              <c:f>Sheet1!$B$2:$B$22</c:f>
              <c:numCache>
                <c:ptCount val="21"/>
                <c:pt idx="0">
                  <c:v>0.141002</c:v>
                </c:pt>
                <c:pt idx="1">
                  <c:v>0.132653</c:v>
                </c:pt>
                <c:pt idx="2">
                  <c:v>0.118738</c:v>
                </c:pt>
                <c:pt idx="3">
                  <c:v>0.113173</c:v>
                </c:pt>
                <c:pt idx="4">
                  <c:v>0.076994</c:v>
                </c:pt>
                <c:pt idx="5">
                  <c:v>0.074212</c:v>
                </c:pt>
                <c:pt idx="6">
                  <c:v>0.062152</c:v>
                </c:pt>
                <c:pt idx="7">
                  <c:v>0.046382</c:v>
                </c:pt>
                <c:pt idx="8">
                  <c:v>0.044527</c:v>
                </c:pt>
                <c:pt idx="9">
                  <c:v>0.038033</c:v>
                </c:pt>
                <c:pt idx="10">
                  <c:v>0.027829</c:v>
                </c:pt>
                <c:pt idx="11">
                  <c:v>0.020408</c:v>
                </c:pt>
                <c:pt idx="12">
                  <c:v>0.019481</c:v>
                </c:pt>
                <c:pt idx="13">
                  <c:v>0.018553</c:v>
                </c:pt>
                <c:pt idx="14">
                  <c:v>0.017625</c:v>
                </c:pt>
                <c:pt idx="15">
                  <c:v>0.014842</c:v>
                </c:pt>
                <c:pt idx="16">
                  <c:v>0.013915</c:v>
                </c:pt>
                <c:pt idx="17">
                  <c:v>0.009276</c:v>
                </c:pt>
                <c:pt idx="18">
                  <c:v>0.004638</c:v>
                </c:pt>
                <c:pt idx="19">
                  <c:v>0.002783</c:v>
                </c:pt>
                <c:pt idx="20">
                  <c:v>0.002783</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Sheet1!$A$2:$A$22</c:f>
              <c:strCache>
                <c:ptCount val="21"/>
                <c:pt idx="0">
                  <c:v>金融业</c:v>
                </c:pt>
                <c:pt idx="1">
                  <c:v>信息传输、软件和信息技术服务业</c:v>
                </c:pt>
                <c:pt idx="2">
                  <c:v>制造业</c:v>
                </c:pt>
                <c:pt idx="3">
                  <c:v>教育</c:v>
                </c:pt>
                <c:pt idx="4">
                  <c:v>批发和零售业</c:v>
                </c:pt>
                <c:pt idx="5">
                  <c:v>文化、体育和娱乐业</c:v>
                </c:pt>
                <c:pt idx="6">
                  <c:v>租赁和商务服务业</c:v>
                </c:pt>
                <c:pt idx="7">
                  <c:v>科学研究和技术服务业</c:v>
                </c:pt>
                <c:pt idx="8">
                  <c:v>房地产业</c:v>
                </c:pt>
                <c:pt idx="9">
                  <c:v>建筑业</c:v>
                </c:pt>
                <c:pt idx="10">
                  <c:v>住宿和餐饮业</c:v>
                </c:pt>
                <c:pt idx="11">
                  <c:v>电力、热力、燃气及水生产和供应业</c:v>
                </c:pt>
                <c:pt idx="12">
                  <c:v>交通运输、仓储和邮政业</c:v>
                </c:pt>
                <c:pt idx="13">
                  <c:v>公共管理、社会保障和社会组织</c:v>
                </c:pt>
                <c:pt idx="14">
                  <c:v>卫生和社会工作</c:v>
                </c:pt>
                <c:pt idx="15">
                  <c:v>水利、环境和公共设施管理业</c:v>
                </c:pt>
                <c:pt idx="16">
                  <c:v>农林牧渔业</c:v>
                </c:pt>
                <c:pt idx="17">
                  <c:v>居民服务、修理和其它服务业</c:v>
                </c:pt>
                <c:pt idx="18">
                  <c:v>国际组织</c:v>
                </c:pt>
                <c:pt idx="19">
                  <c:v>采矿业</c:v>
                </c:pt>
                <c:pt idx="20">
                  <c:v>其它</c:v>
                </c:pt>
              </c:strCache>
            </c:strRef>
          </c:cat>
          <c:val>
            <c:numRef>
              <c:f>Sheet1!$C$2:$C$22</c:f>
              <c:numCache>
                <c:ptCount val="21"/>
                <c:pt idx="0">
                  <c:v>0.167984</c:v>
                </c:pt>
                <c:pt idx="1">
                  <c:v>0.126482</c:v>
                </c:pt>
                <c:pt idx="2">
                  <c:v>0.148221</c:v>
                </c:pt>
                <c:pt idx="3">
                  <c:v>0.069170</c:v>
                </c:pt>
                <c:pt idx="4">
                  <c:v>0.073123</c:v>
                </c:pt>
                <c:pt idx="5">
                  <c:v>0.041502</c:v>
                </c:pt>
                <c:pt idx="6">
                  <c:v>0.055336</c:v>
                </c:pt>
                <c:pt idx="7">
                  <c:v>0.055336</c:v>
                </c:pt>
                <c:pt idx="8">
                  <c:v>0.053360</c:v>
                </c:pt>
                <c:pt idx="9">
                  <c:v>0.049407</c:v>
                </c:pt>
                <c:pt idx="10">
                  <c:v>0.023715</c:v>
                </c:pt>
                <c:pt idx="11">
                  <c:v>0.027668</c:v>
                </c:pt>
                <c:pt idx="12">
                  <c:v>0.023715</c:v>
                </c:pt>
                <c:pt idx="13">
                  <c:v>0.015810</c:v>
                </c:pt>
                <c:pt idx="14">
                  <c:v>0.011858</c:v>
                </c:pt>
                <c:pt idx="15">
                  <c:v>0.017787</c:v>
                </c:pt>
                <c:pt idx="16">
                  <c:v>0.017787</c:v>
                </c:pt>
                <c:pt idx="17">
                  <c:v>0.009881</c:v>
                </c:pt>
                <c:pt idx="18">
                  <c:v>0.003953</c:v>
                </c:pt>
                <c:pt idx="19">
                  <c:v>0.003953</c:v>
                </c:pt>
                <c:pt idx="20">
                  <c:v>0.003953</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Sheet1!$A$2:$A$22</c:f>
              <c:strCache>
                <c:ptCount val="21"/>
                <c:pt idx="0">
                  <c:v>金融业</c:v>
                </c:pt>
                <c:pt idx="1">
                  <c:v>信息传输、软件和信息技术服务业</c:v>
                </c:pt>
                <c:pt idx="2">
                  <c:v>制造业</c:v>
                </c:pt>
                <c:pt idx="3">
                  <c:v>教育</c:v>
                </c:pt>
                <c:pt idx="4">
                  <c:v>批发和零售业</c:v>
                </c:pt>
                <c:pt idx="5">
                  <c:v>文化、体育和娱乐业</c:v>
                </c:pt>
                <c:pt idx="6">
                  <c:v>租赁和商务服务业</c:v>
                </c:pt>
                <c:pt idx="7">
                  <c:v>科学研究和技术服务业</c:v>
                </c:pt>
                <c:pt idx="8">
                  <c:v>房地产业</c:v>
                </c:pt>
                <c:pt idx="9">
                  <c:v>建筑业</c:v>
                </c:pt>
                <c:pt idx="10">
                  <c:v>住宿和餐饮业</c:v>
                </c:pt>
                <c:pt idx="11">
                  <c:v>电力、热力、燃气及水生产和供应业</c:v>
                </c:pt>
                <c:pt idx="12">
                  <c:v>交通运输、仓储和邮政业</c:v>
                </c:pt>
                <c:pt idx="13">
                  <c:v>公共管理、社会保障和社会组织</c:v>
                </c:pt>
                <c:pt idx="14">
                  <c:v>卫生和社会工作</c:v>
                </c:pt>
                <c:pt idx="15">
                  <c:v>水利、环境和公共设施管理业</c:v>
                </c:pt>
                <c:pt idx="16">
                  <c:v>农林牧渔业</c:v>
                </c:pt>
                <c:pt idx="17">
                  <c:v>居民服务、修理和其它服务业</c:v>
                </c:pt>
                <c:pt idx="18">
                  <c:v>国际组织</c:v>
                </c:pt>
                <c:pt idx="19">
                  <c:v>采矿业</c:v>
                </c:pt>
                <c:pt idx="20">
                  <c:v>其它</c:v>
                </c:pt>
              </c:strCache>
            </c:strRef>
          </c:cat>
          <c:val>
            <c:numRef>
              <c:f>Sheet1!$D$2:$D$22</c:f>
              <c:numCache>
                <c:ptCount val="21"/>
                <c:pt idx="0">
                  <c:v>0.117133</c:v>
                </c:pt>
                <c:pt idx="1">
                  <c:v>0.138112</c:v>
                </c:pt>
                <c:pt idx="2">
                  <c:v>0.092657</c:v>
                </c:pt>
                <c:pt idx="3">
                  <c:v>0.152098</c:v>
                </c:pt>
                <c:pt idx="4">
                  <c:v>0.080420</c:v>
                </c:pt>
                <c:pt idx="5">
                  <c:v>0.103147</c:v>
                </c:pt>
                <c:pt idx="6">
                  <c:v>0.068182</c:v>
                </c:pt>
                <c:pt idx="7">
                  <c:v>0.038462</c:v>
                </c:pt>
                <c:pt idx="8">
                  <c:v>0.036713</c:v>
                </c:pt>
                <c:pt idx="9">
                  <c:v>0.027972</c:v>
                </c:pt>
                <c:pt idx="10">
                  <c:v>0.031469</c:v>
                </c:pt>
                <c:pt idx="11">
                  <c:v>0.013986</c:v>
                </c:pt>
                <c:pt idx="12">
                  <c:v>0.015734</c:v>
                </c:pt>
                <c:pt idx="13">
                  <c:v>0.020979</c:v>
                </c:pt>
                <c:pt idx="14">
                  <c:v>0.022727</c:v>
                </c:pt>
                <c:pt idx="15">
                  <c:v>0.012238</c:v>
                </c:pt>
                <c:pt idx="16">
                  <c:v>0.010490</c:v>
                </c:pt>
                <c:pt idx="17">
                  <c:v>0.008741</c:v>
                </c:pt>
                <c:pt idx="18">
                  <c:v>0.005245</c:v>
                </c:pt>
                <c:pt idx="19">
                  <c:v>0.001748</c:v>
                </c:pt>
                <c:pt idx="20">
                  <c:v>0.001748</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45"/>
        <c:minorUnit val="0.0225"/>
      </c:valAx>
      <c:spPr>
        <a:noFill/>
        <a:ln w="12700" cap="flat">
          <a:noFill/>
          <a:miter lim="400000"/>
        </a:ln>
        <a:effectLst/>
      </c:spPr>
    </c:plotArea>
    <c:legend>
      <c:legendPos val="b"/>
      <c:layout>
        <c:manualLayout>
          <c:xMode val="edge"/>
          <c:yMode val="edge"/>
          <c:x val="0.351041"/>
          <c:y val="0.944151"/>
          <c:w val="0.317744"/>
          <c:h val="0.0558487"/>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Sheet1!$A$2:$A$9</c:f>
              <c:strCache>
                <c:ptCount val="8"/>
                <c:pt idx="0">
                  <c:v>私营/民营企业</c:v>
                </c:pt>
                <c:pt idx="1">
                  <c:v>外商/港澳台资</c:v>
                </c:pt>
                <c:pt idx="2">
                  <c:v>国有企业</c:v>
                </c:pt>
                <c:pt idx="3">
                  <c:v>合资企业</c:v>
                </c:pt>
                <c:pt idx="4">
                  <c:v>机关事业单位</c:v>
                </c:pt>
                <c:pt idx="5">
                  <c:v>其它</c:v>
                </c:pt>
                <c:pt idx="6">
                  <c:v>社会组织/团体</c:v>
                </c:pt>
                <c:pt idx="7">
                  <c:v>国际组织</c:v>
                </c:pt>
              </c:strCache>
            </c:strRef>
          </c:cat>
          <c:val>
            <c:numRef>
              <c:f>Sheet1!$B$2:$B$9</c:f>
              <c:numCache>
                <c:ptCount val="8"/>
                <c:pt idx="0">
                  <c:v>0.530612</c:v>
                </c:pt>
                <c:pt idx="1">
                  <c:v>0.168831</c:v>
                </c:pt>
                <c:pt idx="2">
                  <c:v>0.145640</c:v>
                </c:pt>
                <c:pt idx="3">
                  <c:v>0.084416</c:v>
                </c:pt>
                <c:pt idx="4">
                  <c:v>0.031540</c:v>
                </c:pt>
                <c:pt idx="5">
                  <c:v>0.021336</c:v>
                </c:pt>
                <c:pt idx="6">
                  <c:v>0.011132</c:v>
                </c:pt>
                <c:pt idx="7">
                  <c:v>0.006494</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私营/民营企业</c:v>
                </c:pt>
                <c:pt idx="1">
                  <c:v>外商/港澳台资</c:v>
                </c:pt>
                <c:pt idx="2">
                  <c:v>国有企业</c:v>
                </c:pt>
                <c:pt idx="3">
                  <c:v>合资企业</c:v>
                </c:pt>
                <c:pt idx="4">
                  <c:v>机关事业单位</c:v>
                </c:pt>
                <c:pt idx="5">
                  <c:v>其它</c:v>
                </c:pt>
                <c:pt idx="6">
                  <c:v>社会组织/团体</c:v>
                </c:pt>
                <c:pt idx="7">
                  <c:v>国际组织</c:v>
                </c:pt>
              </c:strCache>
            </c:strRef>
          </c:cat>
          <c:val>
            <c:numRef>
              <c:f>Sheet1!$C$2:$C$9</c:f>
              <c:numCache>
                <c:ptCount val="8"/>
                <c:pt idx="0">
                  <c:v>0.515810</c:v>
                </c:pt>
                <c:pt idx="1">
                  <c:v>0.148221</c:v>
                </c:pt>
                <c:pt idx="2">
                  <c:v>0.156126</c:v>
                </c:pt>
                <c:pt idx="3">
                  <c:v>0.114625</c:v>
                </c:pt>
                <c:pt idx="4">
                  <c:v>0.027668</c:v>
                </c:pt>
                <c:pt idx="5">
                  <c:v>0.019763</c:v>
                </c:pt>
                <c:pt idx="6">
                  <c:v>0.007905</c:v>
                </c:pt>
                <c:pt idx="7">
                  <c:v>0.009881</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私营/民营企业</c:v>
                </c:pt>
                <c:pt idx="1">
                  <c:v>外商/港澳台资</c:v>
                </c:pt>
                <c:pt idx="2">
                  <c:v>国有企业</c:v>
                </c:pt>
                <c:pt idx="3">
                  <c:v>合资企业</c:v>
                </c:pt>
                <c:pt idx="4">
                  <c:v>机关事业单位</c:v>
                </c:pt>
                <c:pt idx="5">
                  <c:v>其它</c:v>
                </c:pt>
                <c:pt idx="6">
                  <c:v>社会组织/团体</c:v>
                </c:pt>
                <c:pt idx="7">
                  <c:v>国际组织</c:v>
                </c:pt>
              </c:strCache>
            </c:strRef>
          </c:cat>
          <c:val>
            <c:numRef>
              <c:f>Sheet1!$D$2:$D$9</c:f>
              <c:numCache>
                <c:ptCount val="8"/>
                <c:pt idx="0">
                  <c:v>0.543706</c:v>
                </c:pt>
                <c:pt idx="1">
                  <c:v>0.187063</c:v>
                </c:pt>
                <c:pt idx="2">
                  <c:v>0.136364</c:v>
                </c:pt>
                <c:pt idx="3">
                  <c:v>0.057692</c:v>
                </c:pt>
                <c:pt idx="4">
                  <c:v>0.034965</c:v>
                </c:pt>
                <c:pt idx="5">
                  <c:v>0.022727</c:v>
                </c:pt>
                <c:pt idx="6">
                  <c:v>0.013986</c:v>
                </c:pt>
                <c:pt idx="7">
                  <c:v>0.003497</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Sheet1!$A$2:$A$7</c:f>
              <c:strCache>
                <c:ptCount val="6"/>
                <c:pt idx="0">
                  <c:v>20人及以下</c:v>
                </c:pt>
                <c:pt idx="1">
                  <c:v>21-99人</c:v>
                </c:pt>
                <c:pt idx="2">
                  <c:v>100-499人</c:v>
                </c:pt>
                <c:pt idx="3">
                  <c:v>500-999人</c:v>
                </c:pt>
                <c:pt idx="4">
                  <c:v>1000-9999人</c:v>
                </c:pt>
                <c:pt idx="5">
                  <c:v>10000人以上</c:v>
                </c:pt>
              </c:strCache>
            </c:strRef>
          </c:cat>
          <c:val>
            <c:numRef>
              <c:f>Sheet1!$B$2:$B$7</c:f>
              <c:numCache>
                <c:ptCount val="6"/>
                <c:pt idx="0">
                  <c:v>0.094620</c:v>
                </c:pt>
                <c:pt idx="1">
                  <c:v>0.225417</c:v>
                </c:pt>
                <c:pt idx="2">
                  <c:v>0.278293</c:v>
                </c:pt>
                <c:pt idx="3">
                  <c:v>0.128942</c:v>
                </c:pt>
                <c:pt idx="4">
                  <c:v>0.161410</c:v>
                </c:pt>
                <c:pt idx="5">
                  <c:v>0.111317</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20人及以下</c:v>
                </c:pt>
                <c:pt idx="1">
                  <c:v>21-99人</c:v>
                </c:pt>
                <c:pt idx="2">
                  <c:v>100-499人</c:v>
                </c:pt>
                <c:pt idx="3">
                  <c:v>500-999人</c:v>
                </c:pt>
                <c:pt idx="4">
                  <c:v>1000-9999人</c:v>
                </c:pt>
                <c:pt idx="5">
                  <c:v>10000人以上</c:v>
                </c:pt>
              </c:strCache>
            </c:strRef>
          </c:cat>
          <c:val>
            <c:numRef>
              <c:f>Sheet1!$C$2:$C$7</c:f>
              <c:numCache>
                <c:ptCount val="6"/>
                <c:pt idx="0">
                  <c:v>0.086957</c:v>
                </c:pt>
                <c:pt idx="1">
                  <c:v>0.219368</c:v>
                </c:pt>
                <c:pt idx="2">
                  <c:v>0.268775</c:v>
                </c:pt>
                <c:pt idx="3">
                  <c:v>0.154150</c:v>
                </c:pt>
                <c:pt idx="4">
                  <c:v>0.158103</c:v>
                </c:pt>
                <c:pt idx="5">
                  <c:v>0.112648</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20人及以下</c:v>
                </c:pt>
                <c:pt idx="1">
                  <c:v>21-99人</c:v>
                </c:pt>
                <c:pt idx="2">
                  <c:v>100-499人</c:v>
                </c:pt>
                <c:pt idx="3">
                  <c:v>500-999人</c:v>
                </c:pt>
                <c:pt idx="4">
                  <c:v>1000-9999人</c:v>
                </c:pt>
                <c:pt idx="5">
                  <c:v>10000人以上</c:v>
                </c:pt>
              </c:strCache>
            </c:strRef>
          </c:cat>
          <c:val>
            <c:numRef>
              <c:f>Sheet1!$D$2:$D$7</c:f>
              <c:numCache>
                <c:ptCount val="6"/>
                <c:pt idx="0">
                  <c:v>0.101399</c:v>
                </c:pt>
                <c:pt idx="1">
                  <c:v>0.230769</c:v>
                </c:pt>
                <c:pt idx="2">
                  <c:v>0.286713</c:v>
                </c:pt>
                <c:pt idx="3">
                  <c:v>0.106643</c:v>
                </c:pt>
                <c:pt idx="4">
                  <c:v>0.164336</c:v>
                </c:pt>
                <c:pt idx="5">
                  <c:v>0.110140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75"/>
        <c:minorUnit val="0.03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Sheet1!$A$2:$A$27</c:f>
              <c:strCache>
                <c:ptCount val="26"/>
                <c:pt idx="0">
                  <c:v>贸易/销售/业务类</c:v>
                </c:pt>
                <c:pt idx="1">
                  <c:v>经营管理类</c:v>
                </c:pt>
                <c:pt idx="2">
                  <c:v>行政/人力资源管理类</c:v>
                </c:pt>
                <c:pt idx="3">
                  <c:v>公关/市场营销类</c:v>
                </c:pt>
                <c:pt idx="4">
                  <c:v>金融/经济</c:v>
                </c:pt>
                <c:pt idx="5">
                  <c:v>文化/教育/体育类/艺术类</c:v>
                </c:pt>
                <c:pt idx="6">
                  <c:v>咨询/顾问类</c:v>
                </c:pt>
                <c:pt idx="7">
                  <c:v>计算机/互联网类</c:v>
                </c:pt>
                <c:pt idx="8">
                  <c:v>文职类</c:v>
                </c:pt>
                <c:pt idx="9">
                  <c:v>设计类</c:v>
                </c:pt>
                <c:pt idx="10">
                  <c:v>客户服务类</c:v>
                </c:pt>
                <c:pt idx="11">
                  <c:v>财务类</c:v>
                </c:pt>
                <c:pt idx="12">
                  <c:v>规划/建筑/建材类</c:v>
                </c:pt>
                <c:pt idx="13">
                  <c:v>新闻/出版/媒体类</c:v>
                </c:pt>
                <c:pt idx="14">
                  <c:v>机械类</c:v>
                </c:pt>
                <c:pt idx="15">
                  <c:v>化工/生物类</c:v>
                </c:pt>
                <c:pt idx="16">
                  <c:v>酒店/餐饮类</c:v>
                </c:pt>
                <c:pt idx="17">
                  <c:v>房地产/物业管理类</c:v>
                </c:pt>
                <c:pt idx="18">
                  <c:v>电子/通讯类</c:v>
                </c:pt>
                <c:pt idx="19">
                  <c:v>物流/交通运输类</c:v>
                </c:pt>
                <c:pt idx="20">
                  <c:v>医疗卫生/护理/保健类</c:v>
                </c:pt>
                <c:pt idx="21">
                  <c:v>电气/电力类</c:v>
                </c:pt>
                <c:pt idx="22">
                  <c:v>法律类</c:v>
                </c:pt>
                <c:pt idx="23">
                  <c:v>工厂类</c:v>
                </c:pt>
                <c:pt idx="24">
                  <c:v>商场类</c:v>
                </c:pt>
                <c:pt idx="25">
                  <c:v>其它</c:v>
                </c:pt>
              </c:strCache>
            </c:strRef>
          </c:cat>
          <c:val>
            <c:numRef>
              <c:f>Sheet1!$B$2:$B$27</c:f>
              <c:numCache>
                <c:ptCount val="26"/>
                <c:pt idx="0">
                  <c:v>0.126160</c:v>
                </c:pt>
                <c:pt idx="1">
                  <c:v>0.121521</c:v>
                </c:pt>
                <c:pt idx="2">
                  <c:v>0.091837</c:v>
                </c:pt>
                <c:pt idx="3">
                  <c:v>0.087199</c:v>
                </c:pt>
                <c:pt idx="4">
                  <c:v>0.067718</c:v>
                </c:pt>
                <c:pt idx="5">
                  <c:v>0.064007</c:v>
                </c:pt>
                <c:pt idx="6">
                  <c:v>0.055659</c:v>
                </c:pt>
                <c:pt idx="7">
                  <c:v>0.055659</c:v>
                </c:pt>
                <c:pt idx="8">
                  <c:v>0.053803</c:v>
                </c:pt>
                <c:pt idx="9">
                  <c:v>0.042672</c:v>
                </c:pt>
                <c:pt idx="10">
                  <c:v>0.037106</c:v>
                </c:pt>
                <c:pt idx="11">
                  <c:v>0.032468</c:v>
                </c:pt>
                <c:pt idx="12">
                  <c:v>0.021336</c:v>
                </c:pt>
                <c:pt idx="13">
                  <c:v>0.020408</c:v>
                </c:pt>
                <c:pt idx="14">
                  <c:v>0.019481</c:v>
                </c:pt>
                <c:pt idx="15">
                  <c:v>0.015770</c:v>
                </c:pt>
                <c:pt idx="16">
                  <c:v>0.014842</c:v>
                </c:pt>
                <c:pt idx="17">
                  <c:v>0.013915</c:v>
                </c:pt>
                <c:pt idx="18">
                  <c:v>0.012987</c:v>
                </c:pt>
                <c:pt idx="19">
                  <c:v>0.012059</c:v>
                </c:pt>
                <c:pt idx="20">
                  <c:v>0.009276</c:v>
                </c:pt>
                <c:pt idx="21">
                  <c:v>0.007421</c:v>
                </c:pt>
                <c:pt idx="22">
                  <c:v>0.006494</c:v>
                </c:pt>
                <c:pt idx="23">
                  <c:v>0.003711</c:v>
                </c:pt>
                <c:pt idx="24">
                  <c:v>0.003711</c:v>
                </c:pt>
                <c:pt idx="25">
                  <c:v>0.002800</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Sheet1!$A$2:$A$27</c:f>
              <c:strCache>
                <c:ptCount val="26"/>
                <c:pt idx="0">
                  <c:v>贸易/销售/业务类</c:v>
                </c:pt>
                <c:pt idx="1">
                  <c:v>经营管理类</c:v>
                </c:pt>
                <c:pt idx="2">
                  <c:v>行政/人力资源管理类</c:v>
                </c:pt>
                <c:pt idx="3">
                  <c:v>公关/市场营销类</c:v>
                </c:pt>
                <c:pt idx="4">
                  <c:v>金融/经济</c:v>
                </c:pt>
                <c:pt idx="5">
                  <c:v>文化/教育/体育类/艺术类</c:v>
                </c:pt>
                <c:pt idx="6">
                  <c:v>咨询/顾问类</c:v>
                </c:pt>
                <c:pt idx="7">
                  <c:v>计算机/互联网类</c:v>
                </c:pt>
                <c:pt idx="8">
                  <c:v>文职类</c:v>
                </c:pt>
                <c:pt idx="9">
                  <c:v>设计类</c:v>
                </c:pt>
                <c:pt idx="10">
                  <c:v>客户服务类</c:v>
                </c:pt>
                <c:pt idx="11">
                  <c:v>财务类</c:v>
                </c:pt>
                <c:pt idx="12">
                  <c:v>规划/建筑/建材类</c:v>
                </c:pt>
                <c:pt idx="13">
                  <c:v>新闻/出版/媒体类</c:v>
                </c:pt>
                <c:pt idx="14">
                  <c:v>机械类</c:v>
                </c:pt>
                <c:pt idx="15">
                  <c:v>化工/生物类</c:v>
                </c:pt>
                <c:pt idx="16">
                  <c:v>酒店/餐饮类</c:v>
                </c:pt>
                <c:pt idx="17">
                  <c:v>房地产/物业管理类</c:v>
                </c:pt>
                <c:pt idx="18">
                  <c:v>电子/通讯类</c:v>
                </c:pt>
                <c:pt idx="19">
                  <c:v>物流/交通运输类</c:v>
                </c:pt>
                <c:pt idx="20">
                  <c:v>医疗卫生/护理/保健类</c:v>
                </c:pt>
                <c:pt idx="21">
                  <c:v>电气/电力类</c:v>
                </c:pt>
                <c:pt idx="22">
                  <c:v>法律类</c:v>
                </c:pt>
                <c:pt idx="23">
                  <c:v>工厂类</c:v>
                </c:pt>
                <c:pt idx="24">
                  <c:v>商场类</c:v>
                </c:pt>
                <c:pt idx="25">
                  <c:v>其它</c:v>
                </c:pt>
              </c:strCache>
            </c:strRef>
          </c:cat>
          <c:val>
            <c:numRef>
              <c:f>Sheet1!$C$2:$C$27</c:f>
              <c:numCache>
                <c:ptCount val="26"/>
                <c:pt idx="0">
                  <c:v>0.152174</c:v>
                </c:pt>
                <c:pt idx="1">
                  <c:v>0.179842</c:v>
                </c:pt>
                <c:pt idx="2">
                  <c:v>0.045455</c:v>
                </c:pt>
                <c:pt idx="3">
                  <c:v>0.065217</c:v>
                </c:pt>
                <c:pt idx="4">
                  <c:v>0.077075</c:v>
                </c:pt>
                <c:pt idx="5">
                  <c:v>0.031621</c:v>
                </c:pt>
                <c:pt idx="6">
                  <c:v>0.039526</c:v>
                </c:pt>
                <c:pt idx="7">
                  <c:v>0.090909</c:v>
                </c:pt>
                <c:pt idx="8">
                  <c:v>0.033597</c:v>
                </c:pt>
                <c:pt idx="9">
                  <c:v>0.031621</c:v>
                </c:pt>
                <c:pt idx="10">
                  <c:v>0.027668</c:v>
                </c:pt>
                <c:pt idx="11">
                  <c:v>0.023715</c:v>
                </c:pt>
                <c:pt idx="12">
                  <c:v>0.033597</c:v>
                </c:pt>
                <c:pt idx="13">
                  <c:v>0.003953</c:v>
                </c:pt>
                <c:pt idx="14">
                  <c:v>0.035573</c:v>
                </c:pt>
                <c:pt idx="15">
                  <c:v>0.015810</c:v>
                </c:pt>
                <c:pt idx="16">
                  <c:v>0.011858</c:v>
                </c:pt>
                <c:pt idx="17">
                  <c:v>0.023715</c:v>
                </c:pt>
                <c:pt idx="18">
                  <c:v>0.021739</c:v>
                </c:pt>
                <c:pt idx="19">
                  <c:v>0.013834</c:v>
                </c:pt>
                <c:pt idx="20">
                  <c:v>0.013834</c:v>
                </c:pt>
                <c:pt idx="21">
                  <c:v>0.015810</c:v>
                </c:pt>
                <c:pt idx="22">
                  <c:v>0.003953</c:v>
                </c:pt>
                <c:pt idx="23">
                  <c:v>0.003953</c:v>
                </c:pt>
                <c:pt idx="24">
                  <c:v>0.003953</c:v>
                </c:pt>
                <c:pt idx="25">
                  <c:v>0.000000</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Sheet1!$A$2:$A$27</c:f>
              <c:strCache>
                <c:ptCount val="26"/>
                <c:pt idx="0">
                  <c:v>贸易/销售/业务类</c:v>
                </c:pt>
                <c:pt idx="1">
                  <c:v>经营管理类</c:v>
                </c:pt>
                <c:pt idx="2">
                  <c:v>行政/人力资源管理类</c:v>
                </c:pt>
                <c:pt idx="3">
                  <c:v>公关/市场营销类</c:v>
                </c:pt>
                <c:pt idx="4">
                  <c:v>金融/经济</c:v>
                </c:pt>
                <c:pt idx="5">
                  <c:v>文化/教育/体育类/艺术类</c:v>
                </c:pt>
                <c:pt idx="6">
                  <c:v>咨询/顾问类</c:v>
                </c:pt>
                <c:pt idx="7">
                  <c:v>计算机/互联网类</c:v>
                </c:pt>
                <c:pt idx="8">
                  <c:v>文职类</c:v>
                </c:pt>
                <c:pt idx="9">
                  <c:v>设计类</c:v>
                </c:pt>
                <c:pt idx="10">
                  <c:v>客户服务类</c:v>
                </c:pt>
                <c:pt idx="11">
                  <c:v>财务类</c:v>
                </c:pt>
                <c:pt idx="12">
                  <c:v>规划/建筑/建材类</c:v>
                </c:pt>
                <c:pt idx="13">
                  <c:v>新闻/出版/媒体类</c:v>
                </c:pt>
                <c:pt idx="14">
                  <c:v>机械类</c:v>
                </c:pt>
                <c:pt idx="15">
                  <c:v>化工/生物类</c:v>
                </c:pt>
                <c:pt idx="16">
                  <c:v>酒店/餐饮类</c:v>
                </c:pt>
                <c:pt idx="17">
                  <c:v>房地产/物业管理类</c:v>
                </c:pt>
                <c:pt idx="18">
                  <c:v>电子/通讯类</c:v>
                </c:pt>
                <c:pt idx="19">
                  <c:v>物流/交通运输类</c:v>
                </c:pt>
                <c:pt idx="20">
                  <c:v>医疗卫生/护理/保健类</c:v>
                </c:pt>
                <c:pt idx="21">
                  <c:v>电气/电力类</c:v>
                </c:pt>
                <c:pt idx="22">
                  <c:v>法律类</c:v>
                </c:pt>
                <c:pt idx="23">
                  <c:v>工厂类</c:v>
                </c:pt>
                <c:pt idx="24">
                  <c:v>商场类</c:v>
                </c:pt>
                <c:pt idx="25">
                  <c:v>其它</c:v>
                </c:pt>
              </c:strCache>
            </c:strRef>
          </c:cat>
          <c:val>
            <c:numRef>
              <c:f>Sheet1!$D$2:$D$27</c:f>
              <c:numCache>
                <c:ptCount val="26"/>
                <c:pt idx="0">
                  <c:v>0.103147</c:v>
                </c:pt>
                <c:pt idx="1">
                  <c:v>0.069930</c:v>
                </c:pt>
                <c:pt idx="2">
                  <c:v>0.132867</c:v>
                </c:pt>
                <c:pt idx="3">
                  <c:v>0.106643</c:v>
                </c:pt>
                <c:pt idx="4">
                  <c:v>0.059441</c:v>
                </c:pt>
                <c:pt idx="5">
                  <c:v>0.092657</c:v>
                </c:pt>
                <c:pt idx="6">
                  <c:v>0.069930</c:v>
                </c:pt>
                <c:pt idx="7">
                  <c:v>0.024476</c:v>
                </c:pt>
                <c:pt idx="8">
                  <c:v>0.071678</c:v>
                </c:pt>
                <c:pt idx="9">
                  <c:v>0.052448</c:v>
                </c:pt>
                <c:pt idx="10">
                  <c:v>0.045455</c:v>
                </c:pt>
                <c:pt idx="11">
                  <c:v>0.040210</c:v>
                </c:pt>
                <c:pt idx="12">
                  <c:v>0.010490</c:v>
                </c:pt>
                <c:pt idx="13">
                  <c:v>0.034965</c:v>
                </c:pt>
                <c:pt idx="14">
                  <c:v>0.005245</c:v>
                </c:pt>
                <c:pt idx="15">
                  <c:v>0.015734</c:v>
                </c:pt>
                <c:pt idx="16">
                  <c:v>0.017483</c:v>
                </c:pt>
                <c:pt idx="17">
                  <c:v>0.005245</c:v>
                </c:pt>
                <c:pt idx="18">
                  <c:v>0.005245</c:v>
                </c:pt>
                <c:pt idx="19">
                  <c:v>0.010490</c:v>
                </c:pt>
                <c:pt idx="20">
                  <c:v>0.005245</c:v>
                </c:pt>
                <c:pt idx="21">
                  <c:v>0.000000</c:v>
                </c:pt>
                <c:pt idx="22">
                  <c:v>0.008741</c:v>
                </c:pt>
                <c:pt idx="23">
                  <c:v>0.003497</c:v>
                </c:pt>
                <c:pt idx="24">
                  <c:v>0.003497</c:v>
                </c:pt>
                <c:pt idx="25">
                  <c:v>0.005200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45"/>
        <c:minorUnit val="0.02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高管</c:v>
                </c:pt>
                <c:pt idx="1">
                  <c:v>中层管理者</c:v>
                </c:pt>
                <c:pt idx="2">
                  <c:v>基层管理者</c:v>
                </c:pt>
                <c:pt idx="3">
                  <c:v>一般员工</c:v>
                </c:pt>
                <c:pt idx="4">
                  <c:v>其它</c:v>
                </c:pt>
              </c:strCache>
            </c:strRef>
          </c:cat>
          <c:val>
            <c:numRef>
              <c:f>Sheet1!$B$2:$B$6</c:f>
              <c:numCache>
                <c:ptCount val="5"/>
                <c:pt idx="0">
                  <c:v>0.032468</c:v>
                </c:pt>
                <c:pt idx="1">
                  <c:v>0.150278</c:v>
                </c:pt>
                <c:pt idx="2">
                  <c:v>0.233766</c:v>
                </c:pt>
                <c:pt idx="3">
                  <c:v>0.580705</c:v>
                </c:pt>
                <c:pt idx="4">
                  <c:v>0.002783</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高管</c:v>
                </c:pt>
                <c:pt idx="1">
                  <c:v>中层管理者</c:v>
                </c:pt>
                <c:pt idx="2">
                  <c:v>基层管理者</c:v>
                </c:pt>
                <c:pt idx="3">
                  <c:v>一般员工</c:v>
                </c:pt>
                <c:pt idx="4">
                  <c:v>其它</c:v>
                </c:pt>
              </c:strCache>
            </c:strRef>
          </c:cat>
          <c:val>
            <c:numRef>
              <c:f>Sheet1!$C$2:$C$6</c:f>
              <c:numCache>
                <c:ptCount val="5"/>
                <c:pt idx="0">
                  <c:v>0.029644</c:v>
                </c:pt>
                <c:pt idx="1">
                  <c:v>0.166008</c:v>
                </c:pt>
                <c:pt idx="2">
                  <c:v>0.223320</c:v>
                </c:pt>
                <c:pt idx="3">
                  <c:v>0.577075</c:v>
                </c:pt>
                <c:pt idx="4">
                  <c:v>0.003953</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高管</c:v>
                </c:pt>
                <c:pt idx="1">
                  <c:v>中层管理者</c:v>
                </c:pt>
                <c:pt idx="2">
                  <c:v>基层管理者</c:v>
                </c:pt>
                <c:pt idx="3">
                  <c:v>一般员工</c:v>
                </c:pt>
                <c:pt idx="4">
                  <c:v>其它</c:v>
                </c:pt>
              </c:strCache>
            </c:strRef>
          </c:cat>
          <c:val>
            <c:numRef>
              <c:f>Sheet1!$D$2:$D$6</c:f>
              <c:numCache>
                <c:ptCount val="5"/>
                <c:pt idx="0">
                  <c:v>0.034965</c:v>
                </c:pt>
                <c:pt idx="1">
                  <c:v>0.136364</c:v>
                </c:pt>
                <c:pt idx="2">
                  <c:v>0.243007</c:v>
                </c:pt>
                <c:pt idx="3">
                  <c:v>0.583916</c:v>
                </c:pt>
                <c:pt idx="4">
                  <c:v>0.001748</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Sheet1!$A$2:$A$9</c:f>
              <c:strCache>
                <c:ptCount val="8"/>
                <c:pt idx="0">
                  <c:v>6000元及以下</c:v>
                </c:pt>
                <c:pt idx="1">
                  <c:v>6001-8000元</c:v>
                </c:pt>
                <c:pt idx="2">
                  <c:v>8001-10000元</c:v>
                </c:pt>
                <c:pt idx="3">
                  <c:v>10001-15000元</c:v>
                </c:pt>
                <c:pt idx="4">
                  <c:v>15001-20000元</c:v>
                </c:pt>
                <c:pt idx="5">
                  <c:v>20001-30000元</c:v>
                </c:pt>
                <c:pt idx="6">
                  <c:v>30001-50000元</c:v>
                </c:pt>
                <c:pt idx="7">
                  <c:v>50000元以上</c:v>
                </c:pt>
              </c:strCache>
            </c:strRef>
          </c:cat>
          <c:val>
            <c:numRef>
              <c:f>Sheet1!$B$2:$B$9</c:f>
              <c:numCache>
                <c:ptCount val="8"/>
                <c:pt idx="0">
                  <c:v>0.331169</c:v>
                </c:pt>
                <c:pt idx="1">
                  <c:v>0.246753</c:v>
                </c:pt>
                <c:pt idx="2">
                  <c:v>0.151206</c:v>
                </c:pt>
                <c:pt idx="3">
                  <c:v>0.146568</c:v>
                </c:pt>
                <c:pt idx="4">
                  <c:v>0.064935</c:v>
                </c:pt>
                <c:pt idx="5">
                  <c:v>0.035250</c:v>
                </c:pt>
                <c:pt idx="6">
                  <c:v>0.013915</c:v>
                </c:pt>
                <c:pt idx="7">
                  <c:v>0.010204</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6000元及以下</c:v>
                </c:pt>
                <c:pt idx="1">
                  <c:v>6001-8000元</c:v>
                </c:pt>
                <c:pt idx="2">
                  <c:v>8001-10000元</c:v>
                </c:pt>
                <c:pt idx="3">
                  <c:v>10001-15000元</c:v>
                </c:pt>
                <c:pt idx="4">
                  <c:v>15001-20000元</c:v>
                </c:pt>
                <c:pt idx="5">
                  <c:v>20001-30000元</c:v>
                </c:pt>
                <c:pt idx="6">
                  <c:v>30001-50000元</c:v>
                </c:pt>
                <c:pt idx="7">
                  <c:v>50000元以上</c:v>
                </c:pt>
              </c:strCache>
            </c:strRef>
          </c:cat>
          <c:val>
            <c:numRef>
              <c:f>Sheet1!$C$2:$C$9</c:f>
              <c:numCache>
                <c:ptCount val="8"/>
                <c:pt idx="0">
                  <c:v>0.314229</c:v>
                </c:pt>
                <c:pt idx="1">
                  <c:v>0.231225</c:v>
                </c:pt>
                <c:pt idx="2">
                  <c:v>0.193676</c:v>
                </c:pt>
                <c:pt idx="3">
                  <c:v>0.144269</c:v>
                </c:pt>
                <c:pt idx="4">
                  <c:v>0.063241</c:v>
                </c:pt>
                <c:pt idx="5">
                  <c:v>0.035573</c:v>
                </c:pt>
                <c:pt idx="6">
                  <c:v>0.011858</c:v>
                </c:pt>
                <c:pt idx="7">
                  <c:v>0.005929</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6000元及以下</c:v>
                </c:pt>
                <c:pt idx="1">
                  <c:v>6001-8000元</c:v>
                </c:pt>
                <c:pt idx="2">
                  <c:v>8001-10000元</c:v>
                </c:pt>
                <c:pt idx="3">
                  <c:v>10001-15000元</c:v>
                </c:pt>
                <c:pt idx="4">
                  <c:v>15001-20000元</c:v>
                </c:pt>
                <c:pt idx="5">
                  <c:v>20001-30000元</c:v>
                </c:pt>
                <c:pt idx="6">
                  <c:v>30001-50000元</c:v>
                </c:pt>
                <c:pt idx="7">
                  <c:v>50000元以上</c:v>
                </c:pt>
              </c:strCache>
            </c:strRef>
          </c:cat>
          <c:val>
            <c:numRef>
              <c:f>Sheet1!$D$2:$D$9</c:f>
              <c:numCache>
                <c:ptCount val="8"/>
                <c:pt idx="0">
                  <c:v>0.346154</c:v>
                </c:pt>
                <c:pt idx="1">
                  <c:v>0.260490</c:v>
                </c:pt>
                <c:pt idx="2">
                  <c:v>0.113636</c:v>
                </c:pt>
                <c:pt idx="3">
                  <c:v>0.148601</c:v>
                </c:pt>
                <c:pt idx="4">
                  <c:v>0.066434</c:v>
                </c:pt>
                <c:pt idx="5">
                  <c:v>0.034965</c:v>
                </c:pt>
                <c:pt idx="6">
                  <c:v>0.015734</c:v>
                </c:pt>
                <c:pt idx="7">
                  <c:v>0.013986</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
        <c:minorUnit val="0.0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非常匹配</c:v>
                </c:pt>
                <c:pt idx="1">
                  <c:v>匹配程度较好</c:v>
                </c:pt>
                <c:pt idx="2">
                  <c:v>匹配程度一般</c:v>
                </c:pt>
                <c:pt idx="3">
                  <c:v>匹配程度较差</c:v>
                </c:pt>
                <c:pt idx="4">
                  <c:v>完全不匹配</c:v>
                </c:pt>
              </c:strCache>
            </c:strRef>
          </c:cat>
          <c:val>
            <c:numRef>
              <c:f>Sheet1!$B$2:$B$6</c:f>
              <c:numCache>
                <c:ptCount val="5"/>
                <c:pt idx="0">
                  <c:v>0.053803</c:v>
                </c:pt>
                <c:pt idx="1">
                  <c:v>0.232839</c:v>
                </c:pt>
                <c:pt idx="2">
                  <c:v>0.335807</c:v>
                </c:pt>
                <c:pt idx="3">
                  <c:v>0.175325</c:v>
                </c:pt>
                <c:pt idx="4">
                  <c:v>0.202226</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非常匹配</c:v>
                </c:pt>
                <c:pt idx="1">
                  <c:v>匹配程度较好</c:v>
                </c:pt>
                <c:pt idx="2">
                  <c:v>匹配程度一般</c:v>
                </c:pt>
                <c:pt idx="3">
                  <c:v>匹配程度较差</c:v>
                </c:pt>
                <c:pt idx="4">
                  <c:v>完全不匹配</c:v>
                </c:pt>
              </c:strCache>
            </c:strRef>
          </c:cat>
          <c:val>
            <c:numRef>
              <c:f>Sheet1!$C$2:$C$6</c:f>
              <c:numCache>
                <c:ptCount val="5"/>
                <c:pt idx="0">
                  <c:v>0.055336</c:v>
                </c:pt>
                <c:pt idx="1">
                  <c:v>0.233202</c:v>
                </c:pt>
                <c:pt idx="2">
                  <c:v>0.349802</c:v>
                </c:pt>
                <c:pt idx="3">
                  <c:v>0.173913</c:v>
                </c:pt>
                <c:pt idx="4">
                  <c:v>0.187747</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非常匹配</c:v>
                </c:pt>
                <c:pt idx="1">
                  <c:v>匹配程度较好</c:v>
                </c:pt>
                <c:pt idx="2">
                  <c:v>匹配程度一般</c:v>
                </c:pt>
                <c:pt idx="3">
                  <c:v>匹配程度较差</c:v>
                </c:pt>
                <c:pt idx="4">
                  <c:v>完全不匹配</c:v>
                </c:pt>
              </c:strCache>
            </c:strRef>
          </c:cat>
          <c:val>
            <c:numRef>
              <c:f>Sheet1!$D$2:$D$6</c:f>
              <c:numCache>
                <c:ptCount val="5"/>
                <c:pt idx="0">
                  <c:v>0.052448</c:v>
                </c:pt>
                <c:pt idx="1">
                  <c:v>0.232517</c:v>
                </c:pt>
                <c:pt idx="2">
                  <c:v>0.323427</c:v>
                </c:pt>
                <c:pt idx="3">
                  <c:v>0.176573</c:v>
                </c:pt>
                <c:pt idx="4">
                  <c:v>0.215035</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
        <c:minorUnit val="0.0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Sheet1!$A$2:$A$6</c:f>
              <c:strCache>
                <c:ptCount val="5"/>
                <c:pt idx="0">
                  <c:v>远低于预期</c:v>
                </c:pt>
                <c:pt idx="1">
                  <c:v>低于预期</c:v>
                </c:pt>
                <c:pt idx="2">
                  <c:v>基本符合预期</c:v>
                </c:pt>
                <c:pt idx="3">
                  <c:v>高于期望</c:v>
                </c:pt>
                <c:pt idx="4">
                  <c:v>远高于预期</c:v>
                </c:pt>
              </c:strCache>
            </c:strRef>
          </c:cat>
          <c:val>
            <c:numRef>
              <c:f>Sheet1!$B$2:$B$6</c:f>
              <c:numCache>
                <c:ptCount val="5"/>
                <c:pt idx="0">
                  <c:v>0.313544</c:v>
                </c:pt>
                <c:pt idx="1">
                  <c:v>0.487941</c:v>
                </c:pt>
                <c:pt idx="2">
                  <c:v>0.188312</c:v>
                </c:pt>
                <c:pt idx="3">
                  <c:v>0.008349</c:v>
                </c:pt>
                <c:pt idx="4">
                  <c:v>0.001855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远低于预期</c:v>
                </c:pt>
                <c:pt idx="1">
                  <c:v>低于预期</c:v>
                </c:pt>
                <c:pt idx="2">
                  <c:v>基本符合预期</c:v>
                </c:pt>
                <c:pt idx="3">
                  <c:v>高于期望</c:v>
                </c:pt>
                <c:pt idx="4">
                  <c:v>远高于预期</c:v>
                </c:pt>
              </c:strCache>
            </c:strRef>
          </c:cat>
          <c:val>
            <c:numRef>
              <c:f>Sheet1!$C$2:$C$6</c:f>
              <c:numCache>
                <c:ptCount val="5"/>
                <c:pt idx="0">
                  <c:v>0.314229</c:v>
                </c:pt>
                <c:pt idx="1">
                  <c:v>0.496047</c:v>
                </c:pt>
                <c:pt idx="2">
                  <c:v>0.181818</c:v>
                </c:pt>
                <c:pt idx="3">
                  <c:v>0.005929</c:v>
                </c:pt>
                <c:pt idx="4">
                  <c:v>0.001976</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Sheet1!$A$2:$A$6</c:f>
              <c:strCache>
                <c:ptCount val="5"/>
                <c:pt idx="0">
                  <c:v>远低于预期</c:v>
                </c:pt>
                <c:pt idx="1">
                  <c:v>低于预期</c:v>
                </c:pt>
                <c:pt idx="2">
                  <c:v>基本符合预期</c:v>
                </c:pt>
                <c:pt idx="3">
                  <c:v>高于期望</c:v>
                </c:pt>
                <c:pt idx="4">
                  <c:v>远高于预期</c:v>
                </c:pt>
              </c:strCache>
            </c:strRef>
          </c:cat>
          <c:val>
            <c:numRef>
              <c:f>Sheet1!$D$2:$D$6</c:f>
              <c:numCache>
                <c:ptCount val="5"/>
                <c:pt idx="0">
                  <c:v>0.312937</c:v>
                </c:pt>
                <c:pt idx="1">
                  <c:v>0.480769</c:v>
                </c:pt>
                <c:pt idx="2">
                  <c:v>0.194056</c:v>
                </c:pt>
                <c:pt idx="3">
                  <c:v>0.010490</c:v>
                </c:pt>
                <c:pt idx="4">
                  <c:v>0.001748</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Sheet1!$A$2:$A$5</c:f>
              <c:strCache>
                <c:ptCount val="4"/>
                <c:pt idx="0">
                  <c:v>没有</c:v>
                </c:pt>
                <c:pt idx="1">
                  <c:v>1次</c:v>
                </c:pt>
                <c:pt idx="2">
                  <c:v>2次</c:v>
                </c:pt>
                <c:pt idx="3">
                  <c:v>3次及以上</c:v>
                </c:pt>
              </c:strCache>
            </c:strRef>
          </c:cat>
          <c:val>
            <c:numRef>
              <c:f>Sheet1!$B$2:$B$5</c:f>
              <c:numCache>
                <c:ptCount val="4"/>
                <c:pt idx="0">
                  <c:v>0.463822</c:v>
                </c:pt>
                <c:pt idx="1">
                  <c:v>0.251391</c:v>
                </c:pt>
                <c:pt idx="2">
                  <c:v>0.165121</c:v>
                </c:pt>
                <c:pt idx="3">
                  <c:v>0.119666</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没有</c:v>
                </c:pt>
                <c:pt idx="1">
                  <c:v>1次</c:v>
                </c:pt>
                <c:pt idx="2">
                  <c:v>2次</c:v>
                </c:pt>
                <c:pt idx="3">
                  <c:v>3次及以上</c:v>
                </c:pt>
              </c:strCache>
            </c:strRef>
          </c:cat>
          <c:val>
            <c:numRef>
              <c:f>Sheet1!$C$2:$C$5</c:f>
              <c:numCache>
                <c:ptCount val="4"/>
                <c:pt idx="0">
                  <c:v>0.474308</c:v>
                </c:pt>
                <c:pt idx="1">
                  <c:v>0.252964</c:v>
                </c:pt>
                <c:pt idx="2">
                  <c:v>0.148221</c:v>
                </c:pt>
                <c:pt idx="3">
                  <c:v>0.124506</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没有</c:v>
                </c:pt>
                <c:pt idx="1">
                  <c:v>1次</c:v>
                </c:pt>
                <c:pt idx="2">
                  <c:v>2次</c:v>
                </c:pt>
                <c:pt idx="3">
                  <c:v>3次及以上</c:v>
                </c:pt>
              </c:strCache>
            </c:strRef>
          </c:cat>
          <c:val>
            <c:numRef>
              <c:f>Sheet1!$D$2:$D$5</c:f>
              <c:numCache>
                <c:ptCount val="4"/>
                <c:pt idx="0">
                  <c:v>0.454545</c:v>
                </c:pt>
                <c:pt idx="1">
                  <c:v>0.250000</c:v>
                </c:pt>
                <c:pt idx="2">
                  <c:v>0.180070</c:v>
                </c:pt>
                <c:pt idx="3">
                  <c:v>0.115385</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895323"/>
          <c:y val="0.0449305"/>
          <c:w val="0.897486"/>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Sheet1!$A$2:$A$8</c:f>
              <c:strCache>
                <c:ptCount val="7"/>
                <c:pt idx="0">
                  <c:v>体验他国文化、生活，丰富个人阅历</c:v>
                </c:pt>
                <c:pt idx="1">
                  <c:v>磨炼独立自主的生活能力</c:v>
                </c:pt>
                <c:pt idx="2">
                  <c:v>国外教育水平相对较高</c:v>
                </c:pt>
                <c:pt idx="3">
                  <c:v>海归回国发展更有竞争力</c:v>
                </c:pt>
                <c:pt idx="4">
                  <c:v>国内优质教育资源竞争激烈</c:v>
                </c:pt>
                <c:pt idx="5">
                  <c:v>计划未来在国外发展</c:v>
                </c:pt>
                <c:pt idx="6">
                  <c:v>其它</c:v>
                </c:pt>
              </c:strCache>
            </c:strRef>
          </c:cat>
          <c:val>
            <c:numRef>
              <c:f>Sheet1!$B$2:$B$8</c:f>
              <c:numCache>
                <c:ptCount val="7"/>
                <c:pt idx="0">
                  <c:v>0.757697</c:v>
                </c:pt>
                <c:pt idx="1">
                  <c:v>0.515395</c:v>
                </c:pt>
                <c:pt idx="2">
                  <c:v>0.512048</c:v>
                </c:pt>
                <c:pt idx="3">
                  <c:v>0.329317</c:v>
                </c:pt>
                <c:pt idx="4">
                  <c:v>0.165328</c:v>
                </c:pt>
                <c:pt idx="5">
                  <c:v>0.070950</c:v>
                </c:pt>
                <c:pt idx="6">
                  <c:v>0.018072</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Sheet1!$A$2:$A$8</c:f>
              <c:strCache>
                <c:ptCount val="7"/>
                <c:pt idx="0">
                  <c:v>体验他国文化、生活，丰富个人阅历</c:v>
                </c:pt>
                <c:pt idx="1">
                  <c:v>磨炼独立自主的生活能力</c:v>
                </c:pt>
                <c:pt idx="2">
                  <c:v>国外教育水平相对较高</c:v>
                </c:pt>
                <c:pt idx="3">
                  <c:v>海归回国发展更有竞争力</c:v>
                </c:pt>
                <c:pt idx="4">
                  <c:v>国内优质教育资源竞争激烈</c:v>
                </c:pt>
                <c:pt idx="5">
                  <c:v>计划未来在国外发展</c:v>
                </c:pt>
                <c:pt idx="6">
                  <c:v>其它</c:v>
                </c:pt>
              </c:strCache>
            </c:strRef>
          </c:cat>
          <c:val>
            <c:numRef>
              <c:f>Sheet1!$C$2:$C$8</c:f>
              <c:numCache>
                <c:ptCount val="7"/>
                <c:pt idx="0">
                  <c:v>0.692970</c:v>
                </c:pt>
                <c:pt idx="1">
                  <c:v>0.525108</c:v>
                </c:pt>
                <c:pt idx="2">
                  <c:v>0.530846</c:v>
                </c:pt>
                <c:pt idx="3">
                  <c:v>0.308465</c:v>
                </c:pt>
                <c:pt idx="4">
                  <c:v>0.200861</c:v>
                </c:pt>
                <c:pt idx="5">
                  <c:v>0.078910</c:v>
                </c:pt>
                <c:pt idx="6">
                  <c:v>0.014347</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Sheet1!$A$2:$A$8</c:f>
              <c:strCache>
                <c:ptCount val="7"/>
                <c:pt idx="0">
                  <c:v>体验他国文化、生活，丰富个人阅历</c:v>
                </c:pt>
                <c:pt idx="1">
                  <c:v>磨炼独立自主的生活能力</c:v>
                </c:pt>
                <c:pt idx="2">
                  <c:v>国外教育水平相对较高</c:v>
                </c:pt>
                <c:pt idx="3">
                  <c:v>海归回国发展更有竞争力</c:v>
                </c:pt>
                <c:pt idx="4">
                  <c:v>国内优质教育资源竞争激烈</c:v>
                </c:pt>
                <c:pt idx="5">
                  <c:v>计划未来在国外发展</c:v>
                </c:pt>
                <c:pt idx="6">
                  <c:v>其它</c:v>
                </c:pt>
              </c:strCache>
            </c:strRef>
          </c:cat>
          <c:val>
            <c:numRef>
              <c:f>Sheet1!$D$2:$D$8</c:f>
              <c:numCache>
                <c:ptCount val="7"/>
                <c:pt idx="0">
                  <c:v>0.814304</c:v>
                </c:pt>
                <c:pt idx="1">
                  <c:v>0.506901</c:v>
                </c:pt>
                <c:pt idx="2">
                  <c:v>0.495609</c:v>
                </c:pt>
                <c:pt idx="3">
                  <c:v>0.347553</c:v>
                </c:pt>
                <c:pt idx="4">
                  <c:v>0.134253</c:v>
                </c:pt>
                <c:pt idx="5">
                  <c:v>0.063990</c:v>
                </c:pt>
                <c:pt idx="6">
                  <c:v>0.021330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25"/>
        <c:minorUnit val="0.1125"/>
      </c:valAx>
      <c:spPr>
        <a:noFill/>
        <a:ln w="12700" cap="flat">
          <a:noFill/>
          <a:miter lim="400000"/>
        </a:ln>
        <a:effectLst/>
      </c:spPr>
    </c:plotArea>
    <c:legend>
      <c:legendPos val="b"/>
      <c:layout>
        <c:manualLayout>
          <c:xMode val="edge"/>
          <c:yMode val="edge"/>
          <c:x val="0.368851"/>
          <c:y val="0.92909"/>
          <c:w val="0.30902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Sheet1!$A$2:$A$10</c:f>
              <c:strCache>
                <c:ptCount val="9"/>
                <c:pt idx="0">
                  <c:v>企业发展前景不明</c:v>
                </c:pt>
                <c:pt idx="1">
                  <c:v>薪酬水平</c:v>
                </c:pt>
                <c:pt idx="2">
                  <c:v>有了更好的机会</c:v>
                </c:pt>
                <c:pt idx="3">
                  <c:v>职位晋升受限</c:v>
                </c:pt>
                <c:pt idx="4">
                  <c:v>对目前的工作不感兴趣</c:v>
                </c:pt>
                <c:pt idx="5">
                  <c:v>工作生活平衡严重失衡</c:v>
                </c:pt>
                <c:pt idx="6">
                  <c:v>福利待遇</c:v>
                </c:pt>
                <c:pt idx="7">
                  <c:v>上下级关系</c:v>
                </c:pt>
                <c:pt idx="8">
                  <c:v>同事关系</c:v>
                </c:pt>
              </c:strCache>
            </c:strRef>
          </c:cat>
          <c:val>
            <c:numRef>
              <c:f>Sheet1!$B$2:$B$10</c:f>
              <c:numCache>
                <c:ptCount val="9"/>
                <c:pt idx="0">
                  <c:v>0.247405</c:v>
                </c:pt>
                <c:pt idx="1">
                  <c:v>0.223183</c:v>
                </c:pt>
                <c:pt idx="2">
                  <c:v>0.126298</c:v>
                </c:pt>
                <c:pt idx="3">
                  <c:v>0.107266</c:v>
                </c:pt>
                <c:pt idx="4">
                  <c:v>0.102076</c:v>
                </c:pt>
                <c:pt idx="5">
                  <c:v>0.077855</c:v>
                </c:pt>
                <c:pt idx="6">
                  <c:v>0.067474</c:v>
                </c:pt>
                <c:pt idx="7">
                  <c:v>0.032872</c:v>
                </c:pt>
                <c:pt idx="8">
                  <c:v>0.015571</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企业发展前景不明</c:v>
                </c:pt>
                <c:pt idx="1">
                  <c:v>薪酬水平</c:v>
                </c:pt>
                <c:pt idx="2">
                  <c:v>有了更好的机会</c:v>
                </c:pt>
                <c:pt idx="3">
                  <c:v>职位晋升受限</c:v>
                </c:pt>
                <c:pt idx="4">
                  <c:v>对目前的工作不感兴趣</c:v>
                </c:pt>
                <c:pt idx="5">
                  <c:v>工作生活平衡严重失衡</c:v>
                </c:pt>
                <c:pt idx="6">
                  <c:v>福利待遇</c:v>
                </c:pt>
                <c:pt idx="7">
                  <c:v>上下级关系</c:v>
                </c:pt>
                <c:pt idx="8">
                  <c:v>同事关系</c:v>
                </c:pt>
              </c:strCache>
            </c:strRef>
          </c:cat>
          <c:val>
            <c:numRef>
              <c:f>Sheet1!$C$2:$C$10</c:f>
              <c:numCache>
                <c:ptCount val="9"/>
                <c:pt idx="0">
                  <c:v>0.244361</c:v>
                </c:pt>
                <c:pt idx="1">
                  <c:v>0.233083</c:v>
                </c:pt>
                <c:pt idx="2">
                  <c:v>0.131579</c:v>
                </c:pt>
                <c:pt idx="3">
                  <c:v>0.112782</c:v>
                </c:pt>
                <c:pt idx="4">
                  <c:v>0.101504</c:v>
                </c:pt>
                <c:pt idx="5">
                  <c:v>0.075188</c:v>
                </c:pt>
                <c:pt idx="6">
                  <c:v>0.060150</c:v>
                </c:pt>
                <c:pt idx="7">
                  <c:v>0.030075</c:v>
                </c:pt>
                <c:pt idx="8">
                  <c:v>0.011278</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企业发展前景不明</c:v>
                </c:pt>
                <c:pt idx="1">
                  <c:v>薪酬水平</c:v>
                </c:pt>
                <c:pt idx="2">
                  <c:v>有了更好的机会</c:v>
                </c:pt>
                <c:pt idx="3">
                  <c:v>职位晋升受限</c:v>
                </c:pt>
                <c:pt idx="4">
                  <c:v>对目前的工作不感兴趣</c:v>
                </c:pt>
                <c:pt idx="5">
                  <c:v>工作生活平衡严重失衡</c:v>
                </c:pt>
                <c:pt idx="6">
                  <c:v>福利待遇</c:v>
                </c:pt>
                <c:pt idx="7">
                  <c:v>上下级关系</c:v>
                </c:pt>
                <c:pt idx="8">
                  <c:v>同事关系</c:v>
                </c:pt>
              </c:strCache>
            </c:strRef>
          </c:cat>
          <c:val>
            <c:numRef>
              <c:f>Sheet1!$D$2:$D$10</c:f>
              <c:numCache>
                <c:ptCount val="9"/>
                <c:pt idx="0">
                  <c:v>0.250000</c:v>
                </c:pt>
                <c:pt idx="1">
                  <c:v>0.214744</c:v>
                </c:pt>
                <c:pt idx="2">
                  <c:v>0.121795</c:v>
                </c:pt>
                <c:pt idx="3">
                  <c:v>0.102564</c:v>
                </c:pt>
                <c:pt idx="4">
                  <c:v>0.102564</c:v>
                </c:pt>
                <c:pt idx="5">
                  <c:v>0.080128</c:v>
                </c:pt>
                <c:pt idx="6">
                  <c:v>0.073718</c:v>
                </c:pt>
                <c:pt idx="7">
                  <c:v>0.035256</c:v>
                </c:pt>
                <c:pt idx="8">
                  <c:v>0.019231</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75"/>
        <c:minorUnit val="0.03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500662"/>
          <c:w val="0.922812"/>
          <c:h val="0.774773"/>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Sheet1!$A$2:$A$4</c:f>
              <c:strCache>
                <c:ptCount val="3"/>
                <c:pt idx="0">
                  <c:v>经常关注，知道内容</c:v>
                </c:pt>
                <c:pt idx="1">
                  <c:v>听说过，但不知详细内容</c:v>
                </c:pt>
                <c:pt idx="2">
                  <c:v>不清楚</c:v>
                </c:pt>
              </c:strCache>
            </c:strRef>
          </c:cat>
          <c:val>
            <c:numRef>
              <c:f>Sheet1!$B$2:$B$4</c:f>
              <c:numCache>
                <c:ptCount val="3"/>
                <c:pt idx="0">
                  <c:v>0.199465</c:v>
                </c:pt>
                <c:pt idx="1">
                  <c:v>0.633199</c:v>
                </c:pt>
                <c:pt idx="2">
                  <c:v>0.167336</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Sheet1!$A$2:$A$4</c:f>
              <c:strCache>
                <c:ptCount val="3"/>
                <c:pt idx="0">
                  <c:v>经常关注，知道内容</c:v>
                </c:pt>
                <c:pt idx="1">
                  <c:v>听说过，但不知详细内容</c:v>
                </c:pt>
                <c:pt idx="2">
                  <c:v>不清楚</c:v>
                </c:pt>
              </c:strCache>
            </c:strRef>
          </c:cat>
          <c:val>
            <c:numRef>
              <c:f>Sheet1!$C$2:$C$4</c:f>
              <c:numCache>
                <c:ptCount val="3"/>
                <c:pt idx="0">
                  <c:v>0.225251</c:v>
                </c:pt>
                <c:pt idx="1">
                  <c:v>0.629842</c:v>
                </c:pt>
                <c:pt idx="2">
                  <c:v>0.144907</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Sheet1!$A$2:$A$4</c:f>
              <c:strCache>
                <c:ptCount val="3"/>
                <c:pt idx="0">
                  <c:v>经常关注，知道内容</c:v>
                </c:pt>
                <c:pt idx="1">
                  <c:v>听说过，但不知详细内容</c:v>
                </c:pt>
                <c:pt idx="2">
                  <c:v>不清楚</c:v>
                </c:pt>
              </c:strCache>
            </c:strRef>
          </c:cat>
          <c:val>
            <c:numRef>
              <c:f>Sheet1!$D$2:$D$4</c:f>
              <c:numCache>
                <c:ptCount val="3"/>
                <c:pt idx="0">
                  <c:v>0.176913</c:v>
                </c:pt>
                <c:pt idx="1">
                  <c:v>0.636136</c:v>
                </c:pt>
                <c:pt idx="2">
                  <c:v>0.186951</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75"/>
        <c:minorUnit val="0.0875"/>
      </c:valAx>
      <c:spPr>
        <a:noFill/>
        <a:ln w="12700" cap="flat">
          <a:noFill/>
          <a:miter lim="400000"/>
        </a:ln>
        <a:effectLst/>
      </c:spPr>
    </c:plotArea>
    <c:legend>
      <c:legendPos val="b"/>
      <c:layout>
        <c:manualLayout>
          <c:xMode val="edge"/>
          <c:yMode val="edge"/>
          <c:x val="0.351041"/>
          <c:y val="0.922414"/>
          <c:w val="0.317744"/>
          <c:h val="0.07758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60771"/>
          <c:y val="0.0370073"/>
          <c:w val="0.920607"/>
          <c:h val="0.830259"/>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Sheet1!$A$2:$A$15</c:f>
              <c:strCache>
                <c:ptCount val="14"/>
                <c:pt idx="0">
                  <c:v>提高人才薪酬福利待遇</c:v>
                </c:pt>
                <c:pt idx="1">
                  <c:v>完善海归人才就业机制</c:v>
                </c:pt>
                <c:pt idx="2">
                  <c:v>解决户籍住房问题</c:v>
                </c:pt>
                <c:pt idx="3">
                  <c:v>提供海归创新创业辅导</c:v>
                </c:pt>
                <c:pt idx="4">
                  <c:v>搭建青年海归交流平台</c:v>
                </c:pt>
                <c:pt idx="5">
                  <c:v>提供职业规划建议</c:v>
                </c:pt>
                <c:pt idx="6">
                  <c:v>进一步宣传国家对海归的优惠政策</c:v>
                </c:pt>
                <c:pt idx="7">
                  <c:v>加大科研经费投入</c:v>
                </c:pt>
                <c:pt idx="8">
                  <c:v>对做出重大贡献的留学人员，给予表彰，奖励及荣誉称号</c:v>
                </c:pt>
                <c:pt idx="9">
                  <c:v>加强知识产权保护</c:v>
                </c:pt>
                <c:pt idx="10">
                  <c:v>创造良好法治环境</c:v>
                </c:pt>
                <c:pt idx="11">
                  <c:v>提供社会融入支持服务</c:v>
                </c:pt>
                <c:pt idx="12">
                  <c:v>完善科研成果转化机制体制</c:v>
                </c:pt>
                <c:pt idx="13">
                  <c:v>其它</c:v>
                </c:pt>
              </c:strCache>
            </c:strRef>
          </c:cat>
          <c:val>
            <c:numRef>
              <c:f>Sheet1!$B$2:$B$15</c:f>
              <c:numCache>
                <c:ptCount val="14"/>
                <c:pt idx="0">
                  <c:v>0.649933</c:v>
                </c:pt>
                <c:pt idx="1">
                  <c:v>0.568273</c:v>
                </c:pt>
                <c:pt idx="2">
                  <c:v>0.359438</c:v>
                </c:pt>
                <c:pt idx="3">
                  <c:v>0.265060</c:v>
                </c:pt>
                <c:pt idx="4">
                  <c:v>0.184739</c:v>
                </c:pt>
                <c:pt idx="5">
                  <c:v>0.137885</c:v>
                </c:pt>
                <c:pt idx="6">
                  <c:v>0.118474</c:v>
                </c:pt>
                <c:pt idx="7">
                  <c:v>0.105087</c:v>
                </c:pt>
                <c:pt idx="8">
                  <c:v>0.105087</c:v>
                </c:pt>
                <c:pt idx="9">
                  <c:v>0.082999</c:v>
                </c:pt>
                <c:pt idx="10">
                  <c:v>0.070950</c:v>
                </c:pt>
                <c:pt idx="11">
                  <c:v>0.052878</c:v>
                </c:pt>
                <c:pt idx="12">
                  <c:v>0.044846</c:v>
                </c:pt>
                <c:pt idx="13">
                  <c:v>0.004016</c:v>
                </c:pt>
              </c:numCache>
            </c:numRef>
          </c:val>
        </c:ser>
        <c:axId val="2094734552"/>
        <c:axId val="2094734553"/>
      </c:areaChart>
      <c:barChart>
        <c:barDir val="col"/>
        <c:grouping val="clustered"/>
        <c:varyColors val="0"/>
        <c:ser>
          <c:idx val="1"/>
          <c:order val="1"/>
          <c:tx>
            <c:strRef>
              <c:f>Sheet1!$C$1</c:f>
              <c:strCache>
                <c:ptCount val="1"/>
                <c:pt idx="0">
                  <c:v>男性</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Sheet1!$A$2:$A$15</c:f>
              <c:strCache>
                <c:ptCount val="14"/>
                <c:pt idx="0">
                  <c:v>提高人才薪酬福利待遇</c:v>
                </c:pt>
                <c:pt idx="1">
                  <c:v>完善海归人才就业机制</c:v>
                </c:pt>
                <c:pt idx="2">
                  <c:v>解决户籍住房问题</c:v>
                </c:pt>
                <c:pt idx="3">
                  <c:v>提供海归创新创业辅导</c:v>
                </c:pt>
                <c:pt idx="4">
                  <c:v>搭建青年海归交流平台</c:v>
                </c:pt>
                <c:pt idx="5">
                  <c:v>提供职业规划建议</c:v>
                </c:pt>
                <c:pt idx="6">
                  <c:v>进一步宣传国家对海归的优惠政策</c:v>
                </c:pt>
                <c:pt idx="7">
                  <c:v>加大科研经费投入</c:v>
                </c:pt>
                <c:pt idx="8">
                  <c:v>对做出重大贡献的留学人员，给予表彰，奖励及荣誉称号</c:v>
                </c:pt>
                <c:pt idx="9">
                  <c:v>加强知识产权保护</c:v>
                </c:pt>
                <c:pt idx="10">
                  <c:v>创造良好法治环境</c:v>
                </c:pt>
                <c:pt idx="11">
                  <c:v>提供社会融入支持服务</c:v>
                </c:pt>
                <c:pt idx="12">
                  <c:v>完善科研成果转化机制体制</c:v>
                </c:pt>
                <c:pt idx="13">
                  <c:v>其它</c:v>
                </c:pt>
              </c:strCache>
            </c:strRef>
          </c:cat>
          <c:val>
            <c:numRef>
              <c:f>Sheet1!$C$2:$C$15</c:f>
              <c:numCache>
                <c:ptCount val="14"/>
                <c:pt idx="0">
                  <c:v>0.657102</c:v>
                </c:pt>
                <c:pt idx="1">
                  <c:v>0.527977</c:v>
                </c:pt>
                <c:pt idx="2">
                  <c:v>0.368723</c:v>
                </c:pt>
                <c:pt idx="3">
                  <c:v>0.248207</c:v>
                </c:pt>
                <c:pt idx="4">
                  <c:v>0.179340</c:v>
                </c:pt>
                <c:pt idx="5">
                  <c:v>0.124821</c:v>
                </c:pt>
                <c:pt idx="6">
                  <c:v>0.104735</c:v>
                </c:pt>
                <c:pt idx="7">
                  <c:v>0.107604</c:v>
                </c:pt>
                <c:pt idx="8">
                  <c:v>0.111908</c:v>
                </c:pt>
                <c:pt idx="9">
                  <c:v>0.094692</c:v>
                </c:pt>
                <c:pt idx="10">
                  <c:v>0.060258</c:v>
                </c:pt>
                <c:pt idx="11">
                  <c:v>0.064562</c:v>
                </c:pt>
                <c:pt idx="12">
                  <c:v>0.058824</c:v>
                </c:pt>
                <c:pt idx="13">
                  <c:v>0.005739</c:v>
                </c:pt>
              </c:numCache>
            </c:numRef>
          </c:val>
        </c:ser>
        <c:ser>
          <c:idx val="2"/>
          <c:order val="2"/>
          <c:tx>
            <c:strRef>
              <c:f>Sheet1!$D$1</c:f>
              <c:strCache>
                <c:ptCount val="1"/>
                <c:pt idx="0">
                  <c:v>女性</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Sheet1!$A$2:$A$15</c:f>
              <c:strCache>
                <c:ptCount val="14"/>
                <c:pt idx="0">
                  <c:v>提高人才薪酬福利待遇</c:v>
                </c:pt>
                <c:pt idx="1">
                  <c:v>完善海归人才就业机制</c:v>
                </c:pt>
                <c:pt idx="2">
                  <c:v>解决户籍住房问题</c:v>
                </c:pt>
                <c:pt idx="3">
                  <c:v>提供海归创新创业辅导</c:v>
                </c:pt>
                <c:pt idx="4">
                  <c:v>搭建青年海归交流平台</c:v>
                </c:pt>
                <c:pt idx="5">
                  <c:v>提供职业规划建议</c:v>
                </c:pt>
                <c:pt idx="6">
                  <c:v>进一步宣传国家对海归的优惠政策</c:v>
                </c:pt>
                <c:pt idx="7">
                  <c:v>加大科研经费投入</c:v>
                </c:pt>
                <c:pt idx="8">
                  <c:v>对做出重大贡献的留学人员，给予表彰，奖励及荣誉称号</c:v>
                </c:pt>
                <c:pt idx="9">
                  <c:v>加强知识产权保护</c:v>
                </c:pt>
                <c:pt idx="10">
                  <c:v>创造良好法治环境</c:v>
                </c:pt>
                <c:pt idx="11">
                  <c:v>提供社会融入支持服务</c:v>
                </c:pt>
                <c:pt idx="12">
                  <c:v>完善科研成果转化机制体制</c:v>
                </c:pt>
                <c:pt idx="13">
                  <c:v>其它</c:v>
                </c:pt>
              </c:strCache>
            </c:strRef>
          </c:cat>
          <c:val>
            <c:numRef>
              <c:f>Sheet1!$D$2:$D$15</c:f>
              <c:numCache>
                <c:ptCount val="14"/>
                <c:pt idx="0">
                  <c:v>0.643664</c:v>
                </c:pt>
                <c:pt idx="1">
                  <c:v>0.603513</c:v>
                </c:pt>
                <c:pt idx="2">
                  <c:v>0.351317</c:v>
                </c:pt>
                <c:pt idx="3">
                  <c:v>0.279799</c:v>
                </c:pt>
                <c:pt idx="4">
                  <c:v>0.189460</c:v>
                </c:pt>
                <c:pt idx="5">
                  <c:v>0.149310</c:v>
                </c:pt>
                <c:pt idx="6">
                  <c:v>0.130489</c:v>
                </c:pt>
                <c:pt idx="7">
                  <c:v>0.102886</c:v>
                </c:pt>
                <c:pt idx="8">
                  <c:v>0.099122</c:v>
                </c:pt>
                <c:pt idx="9">
                  <c:v>0.072773</c:v>
                </c:pt>
                <c:pt idx="10">
                  <c:v>0.080301</c:v>
                </c:pt>
                <c:pt idx="11">
                  <c:v>0.042660</c:v>
                </c:pt>
                <c:pt idx="12">
                  <c:v>0.032622</c:v>
                </c:pt>
                <c:pt idx="13">
                  <c:v>0.002509</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75"/>
        <c:minorUnit val="0.0875"/>
      </c:valAx>
      <c:spPr>
        <a:noFill/>
        <a:ln w="12700" cap="flat">
          <a:noFill/>
          <a:miter lim="400000"/>
        </a:ln>
        <a:effectLst/>
      </c:spPr>
    </c:plotArea>
    <c:legend>
      <c:legendPos val="b"/>
      <c:layout>
        <c:manualLayout>
          <c:xMode val="edge"/>
          <c:yMode val="edge"/>
          <c:x val="0.330602"/>
          <c:y val="0.939391"/>
          <c:w val="0.360965"/>
          <c:h val="0.0606094"/>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209631"/>
          <c:y val="0.0209631"/>
          <c:w val="0.958074"/>
          <c:h val="0.945574"/>
        </c:manualLayout>
      </c:layout>
      <c:doughnutChart>
        <c:varyColors val="0"/>
        <c:ser>
          <c:idx val="0"/>
          <c:order val="0"/>
          <c:tx>
            <c:strRef>
              <c:f>Sheet1!$A$2</c:f>
              <c:strCache>
                <c:ptCount val="1"/>
                <c:pt idx="0">
                  <c:v>汇总</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c:spPr>
          <c:explosion val="0"/>
          <c:dPt>
            <c:idx val="0"/>
            <c:explosion val="0"/>
            <c:spPr>
              <a:gradFill flip="none" rotWithShape="1">
                <a:gsLst>
                  <a:gs pos="0">
                    <a:srgbClr val="70A6DB"/>
                  </a:gs>
                  <a:gs pos="50000">
                    <a:srgbClr val="559BDB"/>
                  </a:gs>
                  <a:gs pos="100000">
                    <a:srgbClr val="448AC9"/>
                  </a:gs>
                </a:gsLst>
                <a:lin ang="5400000" scaled="0"/>
              </a:gradFill>
              <a:ln w="12700" cap="flat">
                <a:noFill/>
                <a:miter lim="400000"/>
              </a:ln>
              <a:effectLst/>
            </c:spPr>
          </c:dPt>
          <c:dPt>
            <c:idx val="1"/>
            <c:explosion val="0"/>
            <c:spPr>
              <a:gradFill flip="none" rotWithShape="1">
                <a:gsLst>
                  <a:gs pos="0">
                    <a:srgbClr val="F18C54"/>
                  </a:gs>
                  <a:gs pos="50000">
                    <a:srgbClr val="F67B28"/>
                  </a:gs>
                  <a:gs pos="100000">
                    <a:srgbClr val="E46B19"/>
                  </a:gs>
                </a:gsLst>
                <a:lin ang="5400000" scaled="0"/>
              </a:gradFill>
              <a:ln w="12700" cap="flat">
                <a:noFill/>
                <a:miter lim="400000"/>
              </a:ln>
              <a:effectLst/>
            </c:spPr>
          </c:dPt>
          <c:dPt>
            <c:idx val="2"/>
            <c:explosion val="0"/>
            <c:spPr>
              <a:gradFill flip="none" rotWithShape="1">
                <a:gsLst>
                  <a:gs pos="0">
                    <a:srgbClr val="AFAFAF"/>
                  </a:gs>
                  <a:gs pos="50000">
                    <a:schemeClr val="accent3"/>
                  </a:gs>
                  <a:gs pos="100000">
                    <a:srgbClr val="929292"/>
                  </a:gs>
                </a:gsLst>
                <a:lin ang="5400000" scaled="0"/>
              </a:gradFill>
              <a:ln w="12700" cap="flat">
                <a:noFill/>
                <a:miter lim="400000"/>
              </a:ln>
              <a:effectLst/>
            </c:spPr>
          </c:dPt>
          <c:dPt>
            <c:idx val="3"/>
            <c:explosion val="0"/>
            <c:spPr>
              <a:gradFill flip="none" rotWithShape="1">
                <a:gsLst>
                  <a:gs pos="0">
                    <a:srgbClr val="FFC647"/>
                  </a:gs>
                  <a:gs pos="50000">
                    <a:schemeClr val="accent4"/>
                  </a:gs>
                  <a:gs pos="100000">
                    <a:srgbClr val="E1AA00"/>
                  </a:gs>
                </a:gsLst>
                <a:lin ang="5400000" scaled="0"/>
              </a:gradFill>
              <a:ln w="12700" cap="flat">
                <a:noFill/>
                <a:miter lim="400000"/>
              </a:ln>
              <a:effectLst/>
            </c:spPr>
          </c:dPt>
          <c:dLbls>
            <c:dLbl>
              <c:idx val="0"/>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1"/>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2"/>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dLbl>
              <c:idx val="3"/>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dLbl>
            <c:numFmt formatCode="0%" sourceLinked="0"/>
            <c:txPr>
              <a:bodyPr/>
              <a:lstStyle/>
              <a:p>
                <a:pPr>
                  <a:defRPr b="0" i="0" strike="noStrike" sz="900" u="none">
                    <a:solidFill>
                      <a:srgbClr val="000000"/>
                    </a:solidFill>
                    <a:latin typeface="Calibri"/>
                  </a:defRPr>
                </a:pPr>
              </a:p>
            </c:txPr>
            <c:showLegendKey val="0"/>
            <c:showVal val="0"/>
            <c:showCatName val="1"/>
            <c:showSerName val="0"/>
            <c:showPercent val="1"/>
            <c:showBubbleSize val="0"/>
            <c:showLeaderLines val="1"/>
            <c:leaderLines>
              <c:spPr>
                <a:noFill/>
                <a:ln w="9525" cap="flat">
                  <a:solidFill>
                    <a:srgbClr val="B7C2D1"/>
                  </a:solidFill>
                  <a:prstDash val="solid"/>
                  <a:round/>
                </a:ln>
                <a:effectLst/>
              </c:spPr>
            </c:leaderLines>
          </c:dLbls>
          <c:cat>
            <c:strRef>
              <c:f>Sheet1!$B$1:$E$1</c:f>
              <c:strCache>
                <c:ptCount val="4"/>
                <c:pt idx="0">
                  <c:v>2015年以前</c:v>
                </c:pt>
                <c:pt idx="1">
                  <c:v>2015</c:v>
                </c:pt>
                <c:pt idx="2">
                  <c:v>2016</c:v>
                </c:pt>
                <c:pt idx="3">
                  <c:v>2017</c:v>
                </c:pt>
              </c:strCache>
            </c:strRef>
          </c:cat>
          <c:val>
            <c:numRef>
              <c:f>Sheet1!$B$2:$E$2</c:f>
              <c:numCache>
                <c:ptCount val="4"/>
                <c:pt idx="0">
                  <c:v>0.253500</c:v>
                </c:pt>
                <c:pt idx="1">
                  <c:v>0.084507</c:v>
                </c:pt>
                <c:pt idx="2">
                  <c:v>0.183099</c:v>
                </c:pt>
                <c:pt idx="3">
                  <c:v>0.478873</c:v>
                </c:pt>
              </c:numCache>
            </c:numRef>
          </c:val>
        </c:ser>
        <c:firstSliceAng val="0"/>
        <c:holeSize val="75"/>
      </c:doughnutChart>
      <c:spPr>
        <a:noFill/>
        <a:ln w="12700" cap="flat">
          <a:noFill/>
          <a:miter lim="400000"/>
        </a:ln>
        <a:effectLst/>
      </c:spPr>
    </c:plotArea>
    <c:plotVisOnly val="1"/>
    <c:dispBlanksAs val="gap"/>
  </c:chart>
  <c:spPr>
    <a:solidFill>
      <a:srgbClr val="C0EBC7"/>
    </a:solidFill>
    <a:ln>
      <a:noFill/>
    </a:ln>
    <a:effectLst/>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14488"/>
          <c:y val="0.0449305"/>
          <c:w val="0.872886"/>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Sheet1!$A$2:$A$18</c:f>
              <c:strCache>
                <c:ptCount val="17"/>
                <c:pt idx="0">
                  <c:v>信息传输、软件和信息技术服务业</c:v>
                </c:pt>
                <c:pt idx="1">
                  <c:v>批发和零售业</c:v>
                </c:pt>
                <c:pt idx="2">
                  <c:v>教育</c:v>
                </c:pt>
                <c:pt idx="3">
                  <c:v>制造业</c:v>
                </c:pt>
                <c:pt idx="4">
                  <c:v>租赁和商务服务业</c:v>
                </c:pt>
                <c:pt idx="5">
                  <c:v>文化、体育和娱乐业</c:v>
                </c:pt>
                <c:pt idx="6">
                  <c:v>住宿和餐饮业</c:v>
                </c:pt>
                <c:pt idx="7">
                  <c:v>电力、热力、燃气及水生产和供应</c:v>
                </c:pt>
                <c:pt idx="8">
                  <c:v>卫生和社会工作</c:v>
                </c:pt>
                <c:pt idx="9">
                  <c:v>金融业</c:v>
                </c:pt>
                <c:pt idx="10">
                  <c:v>建筑业</c:v>
                </c:pt>
                <c:pt idx="11">
                  <c:v>科学研究和技术服务业</c:v>
                </c:pt>
                <c:pt idx="12">
                  <c:v>农林牧渔业</c:v>
                </c:pt>
                <c:pt idx="13">
                  <c:v>采矿业</c:v>
                </c:pt>
                <c:pt idx="14">
                  <c:v>国际组织</c:v>
                </c:pt>
                <c:pt idx="15">
                  <c:v>房地产业</c:v>
                </c:pt>
                <c:pt idx="16">
                  <c:v>其它</c:v>
                </c:pt>
              </c:strCache>
            </c:strRef>
          </c:cat>
          <c:val>
            <c:numRef>
              <c:f>Sheet1!$B$2:$B$18</c:f>
              <c:numCache>
                <c:ptCount val="17"/>
                <c:pt idx="0">
                  <c:v>0.169014</c:v>
                </c:pt>
                <c:pt idx="1">
                  <c:v>0.154930</c:v>
                </c:pt>
                <c:pt idx="2">
                  <c:v>0.112676</c:v>
                </c:pt>
                <c:pt idx="3">
                  <c:v>0.084507</c:v>
                </c:pt>
                <c:pt idx="4">
                  <c:v>0.084507</c:v>
                </c:pt>
                <c:pt idx="5">
                  <c:v>0.070423</c:v>
                </c:pt>
                <c:pt idx="6">
                  <c:v>0.070423</c:v>
                </c:pt>
                <c:pt idx="7">
                  <c:v>0.042254</c:v>
                </c:pt>
                <c:pt idx="8">
                  <c:v>0.042254</c:v>
                </c:pt>
                <c:pt idx="9">
                  <c:v>0.028169</c:v>
                </c:pt>
                <c:pt idx="10">
                  <c:v>0.028169</c:v>
                </c:pt>
                <c:pt idx="11">
                  <c:v>0.028169</c:v>
                </c:pt>
                <c:pt idx="12">
                  <c:v>0.028169</c:v>
                </c:pt>
                <c:pt idx="13">
                  <c:v>0.014085</c:v>
                </c:pt>
                <c:pt idx="14">
                  <c:v>0.014085</c:v>
                </c:pt>
                <c:pt idx="15">
                  <c:v>0.014085</c:v>
                </c:pt>
                <c:pt idx="16">
                  <c:v>0.014085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Sheet1!$A$2:$A$18</c:f>
              <c:strCache>
                <c:ptCount val="17"/>
                <c:pt idx="0">
                  <c:v>信息传输、软件和信息技术服务业</c:v>
                </c:pt>
                <c:pt idx="1">
                  <c:v>批发和零售业</c:v>
                </c:pt>
                <c:pt idx="2">
                  <c:v>教育</c:v>
                </c:pt>
                <c:pt idx="3">
                  <c:v>制造业</c:v>
                </c:pt>
                <c:pt idx="4">
                  <c:v>租赁和商务服务业</c:v>
                </c:pt>
                <c:pt idx="5">
                  <c:v>文化、体育和娱乐业</c:v>
                </c:pt>
                <c:pt idx="6">
                  <c:v>住宿和餐饮业</c:v>
                </c:pt>
                <c:pt idx="7">
                  <c:v>电力、热力、燃气及水生产和供应</c:v>
                </c:pt>
                <c:pt idx="8">
                  <c:v>卫生和社会工作</c:v>
                </c:pt>
                <c:pt idx="9">
                  <c:v>金融业</c:v>
                </c:pt>
                <c:pt idx="10">
                  <c:v>建筑业</c:v>
                </c:pt>
                <c:pt idx="11">
                  <c:v>科学研究和技术服务业</c:v>
                </c:pt>
                <c:pt idx="12">
                  <c:v>农林牧渔业</c:v>
                </c:pt>
                <c:pt idx="13">
                  <c:v>采矿业</c:v>
                </c:pt>
                <c:pt idx="14">
                  <c:v>国际组织</c:v>
                </c:pt>
                <c:pt idx="15">
                  <c:v>房地产业</c:v>
                </c:pt>
                <c:pt idx="16">
                  <c:v>其它</c:v>
                </c:pt>
              </c:strCache>
            </c:strRef>
          </c:cat>
          <c:val>
            <c:numRef>
              <c:f>Sheet1!$C$2:$C$18</c:f>
              <c:numCache>
                <c:ptCount val="17"/>
                <c:pt idx="0">
                  <c:v>0.186047</c:v>
                </c:pt>
                <c:pt idx="1">
                  <c:v>0.162791</c:v>
                </c:pt>
                <c:pt idx="2">
                  <c:v>0.093023</c:v>
                </c:pt>
                <c:pt idx="3">
                  <c:v>0.069767</c:v>
                </c:pt>
                <c:pt idx="4">
                  <c:v>0.093023</c:v>
                </c:pt>
                <c:pt idx="5">
                  <c:v>0.069767</c:v>
                </c:pt>
                <c:pt idx="6">
                  <c:v>0.046512</c:v>
                </c:pt>
                <c:pt idx="7">
                  <c:v>0.023256</c:v>
                </c:pt>
                <c:pt idx="8">
                  <c:v>0.046512</c:v>
                </c:pt>
                <c:pt idx="9">
                  <c:v>0.046512</c:v>
                </c:pt>
                <c:pt idx="10">
                  <c:v>0.046512</c:v>
                </c:pt>
                <c:pt idx="11">
                  <c:v>0.046512</c:v>
                </c:pt>
                <c:pt idx="12">
                  <c:v>0.000000</c:v>
                </c:pt>
                <c:pt idx="13">
                  <c:v>0.023256</c:v>
                </c:pt>
                <c:pt idx="14">
                  <c:v>0.023256</c:v>
                </c:pt>
                <c:pt idx="15">
                  <c:v>0.000000</c:v>
                </c:pt>
                <c:pt idx="16">
                  <c:v>0.023256</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Sheet1!$A$2:$A$18</c:f>
              <c:strCache>
                <c:ptCount val="17"/>
                <c:pt idx="0">
                  <c:v>信息传输、软件和信息技术服务业</c:v>
                </c:pt>
                <c:pt idx="1">
                  <c:v>批发和零售业</c:v>
                </c:pt>
                <c:pt idx="2">
                  <c:v>教育</c:v>
                </c:pt>
                <c:pt idx="3">
                  <c:v>制造业</c:v>
                </c:pt>
                <c:pt idx="4">
                  <c:v>租赁和商务服务业</c:v>
                </c:pt>
                <c:pt idx="5">
                  <c:v>文化、体育和娱乐业</c:v>
                </c:pt>
                <c:pt idx="6">
                  <c:v>住宿和餐饮业</c:v>
                </c:pt>
                <c:pt idx="7">
                  <c:v>电力、热力、燃气及水生产和供应</c:v>
                </c:pt>
                <c:pt idx="8">
                  <c:v>卫生和社会工作</c:v>
                </c:pt>
                <c:pt idx="9">
                  <c:v>金融业</c:v>
                </c:pt>
                <c:pt idx="10">
                  <c:v>建筑业</c:v>
                </c:pt>
                <c:pt idx="11">
                  <c:v>科学研究和技术服务业</c:v>
                </c:pt>
                <c:pt idx="12">
                  <c:v>农林牧渔业</c:v>
                </c:pt>
                <c:pt idx="13">
                  <c:v>采矿业</c:v>
                </c:pt>
                <c:pt idx="14">
                  <c:v>国际组织</c:v>
                </c:pt>
                <c:pt idx="15">
                  <c:v>房地产业</c:v>
                </c:pt>
                <c:pt idx="16">
                  <c:v>其它</c:v>
                </c:pt>
              </c:strCache>
            </c:strRef>
          </c:cat>
          <c:val>
            <c:numRef>
              <c:f>Sheet1!$D$2:$D$18</c:f>
              <c:numCache>
                <c:ptCount val="17"/>
                <c:pt idx="0">
                  <c:v>0.142857</c:v>
                </c:pt>
                <c:pt idx="1">
                  <c:v>0.142857</c:v>
                </c:pt>
                <c:pt idx="2">
                  <c:v>0.142857</c:v>
                </c:pt>
                <c:pt idx="3">
                  <c:v>0.107143</c:v>
                </c:pt>
                <c:pt idx="4">
                  <c:v>0.071429</c:v>
                </c:pt>
                <c:pt idx="5">
                  <c:v>0.071429</c:v>
                </c:pt>
                <c:pt idx="6">
                  <c:v>0.107143</c:v>
                </c:pt>
                <c:pt idx="7">
                  <c:v>0.071429</c:v>
                </c:pt>
                <c:pt idx="8">
                  <c:v>0.035714</c:v>
                </c:pt>
                <c:pt idx="9">
                  <c:v>0.000000</c:v>
                </c:pt>
                <c:pt idx="10">
                  <c:v>0.000000</c:v>
                </c:pt>
                <c:pt idx="11">
                  <c:v>0.000000</c:v>
                </c:pt>
                <c:pt idx="12">
                  <c:v>0.071429</c:v>
                </c:pt>
                <c:pt idx="13">
                  <c:v>0.000000</c:v>
                </c:pt>
                <c:pt idx="14">
                  <c:v>0.000000</c:v>
                </c:pt>
                <c:pt idx="15">
                  <c:v>0.035714</c:v>
                </c:pt>
                <c:pt idx="16">
                  <c:v>0.000000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5"/>
        <c:minorUnit val="0.025"/>
      </c:valAx>
      <c:spPr>
        <a:noFill/>
        <a:ln w="12700" cap="flat">
          <a:noFill/>
          <a:miter lim="400000"/>
        </a:ln>
        <a:effectLst/>
      </c:spPr>
    </c:plotArea>
    <c:legend>
      <c:legendPos val="b"/>
      <c:layout>
        <c:manualLayout>
          <c:xMode val="edge"/>
          <c:yMode val="edge"/>
          <c:x val="0.386151"/>
          <c:y val="0.92909"/>
          <c:w val="0.30055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704102"/>
          <c:y val="0.0449305"/>
          <c:w val="0.916335"/>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Sheet1!$A$2:$A$9</c:f>
              <c:strCache>
                <c:ptCount val="8"/>
                <c:pt idx="0">
                  <c:v>留学专业与创业行业紧密相关</c:v>
                </c:pt>
                <c:pt idx="1">
                  <c:v>主要合伙人的创业理念</c:v>
                </c:pt>
                <c:pt idx="2">
                  <c:v>创业热门行业</c:v>
                </c:pt>
                <c:pt idx="3">
                  <c:v>家庭背景</c:v>
                </c:pt>
                <c:pt idx="4">
                  <c:v>有相关技术专利</c:v>
                </c:pt>
                <c:pt idx="5">
                  <c:v>与国家或地方发展规划相匹配</c:v>
                </c:pt>
                <c:pt idx="6">
                  <c:v>个人爱好</c:v>
                </c:pt>
                <c:pt idx="7">
                  <c:v>其它</c:v>
                </c:pt>
              </c:strCache>
            </c:strRef>
          </c:cat>
          <c:val>
            <c:numRef>
              <c:f>Sheet1!$B$2:$B$9</c:f>
              <c:numCache>
                <c:ptCount val="8"/>
                <c:pt idx="0">
                  <c:v>0.295775</c:v>
                </c:pt>
                <c:pt idx="1">
                  <c:v>0.239437</c:v>
                </c:pt>
                <c:pt idx="2">
                  <c:v>0.169014</c:v>
                </c:pt>
                <c:pt idx="3">
                  <c:v>0.112676</c:v>
                </c:pt>
                <c:pt idx="4">
                  <c:v>0.056338</c:v>
                </c:pt>
                <c:pt idx="5">
                  <c:v>0.056338</c:v>
                </c:pt>
                <c:pt idx="6">
                  <c:v>0.056338</c:v>
                </c:pt>
                <c:pt idx="7">
                  <c:v>0.014085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留学专业与创业行业紧密相关</c:v>
                </c:pt>
                <c:pt idx="1">
                  <c:v>主要合伙人的创业理念</c:v>
                </c:pt>
                <c:pt idx="2">
                  <c:v>创业热门行业</c:v>
                </c:pt>
                <c:pt idx="3">
                  <c:v>家庭背景</c:v>
                </c:pt>
                <c:pt idx="4">
                  <c:v>有相关技术专利</c:v>
                </c:pt>
                <c:pt idx="5">
                  <c:v>与国家或地方发展规划相匹配</c:v>
                </c:pt>
                <c:pt idx="6">
                  <c:v>个人爱好</c:v>
                </c:pt>
                <c:pt idx="7">
                  <c:v>其它</c:v>
                </c:pt>
              </c:strCache>
            </c:strRef>
          </c:cat>
          <c:val>
            <c:numRef>
              <c:f>Sheet1!$C$2:$C$9</c:f>
              <c:numCache>
                <c:ptCount val="8"/>
                <c:pt idx="0">
                  <c:v>0.279070</c:v>
                </c:pt>
                <c:pt idx="1">
                  <c:v>0.255814</c:v>
                </c:pt>
                <c:pt idx="2">
                  <c:v>0.139535</c:v>
                </c:pt>
                <c:pt idx="3">
                  <c:v>0.093023</c:v>
                </c:pt>
                <c:pt idx="4">
                  <c:v>0.069767</c:v>
                </c:pt>
                <c:pt idx="5">
                  <c:v>0.069767</c:v>
                </c:pt>
                <c:pt idx="6">
                  <c:v>0.069767</c:v>
                </c:pt>
                <c:pt idx="7">
                  <c:v>0.023256</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留学专业与创业行业紧密相关</c:v>
                </c:pt>
                <c:pt idx="1">
                  <c:v>主要合伙人的创业理念</c:v>
                </c:pt>
                <c:pt idx="2">
                  <c:v>创业热门行业</c:v>
                </c:pt>
                <c:pt idx="3">
                  <c:v>家庭背景</c:v>
                </c:pt>
                <c:pt idx="4">
                  <c:v>有相关技术专利</c:v>
                </c:pt>
                <c:pt idx="5">
                  <c:v>与国家或地方发展规划相匹配</c:v>
                </c:pt>
                <c:pt idx="6">
                  <c:v>个人爱好</c:v>
                </c:pt>
                <c:pt idx="7">
                  <c:v>其它</c:v>
                </c:pt>
              </c:strCache>
            </c:strRef>
          </c:cat>
          <c:val>
            <c:numRef>
              <c:f>Sheet1!$D$2:$D$9</c:f>
              <c:numCache>
                <c:ptCount val="8"/>
                <c:pt idx="0">
                  <c:v>0.321429</c:v>
                </c:pt>
                <c:pt idx="1">
                  <c:v>0.214286</c:v>
                </c:pt>
                <c:pt idx="2">
                  <c:v>0.214286</c:v>
                </c:pt>
                <c:pt idx="3">
                  <c:v>0.142857</c:v>
                </c:pt>
                <c:pt idx="4">
                  <c:v>0.035714</c:v>
                </c:pt>
                <c:pt idx="5">
                  <c:v>0.035714</c:v>
                </c:pt>
                <c:pt idx="6">
                  <c:v>0.035714</c:v>
                </c:pt>
                <c:pt idx="7">
                  <c:v>0.000000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
        <c:minorUnit val="0.05"/>
      </c:valAx>
      <c:spPr>
        <a:noFill/>
        <a:ln w="12700" cap="flat">
          <a:noFill/>
          <a:miter lim="400000"/>
        </a:ln>
        <a:effectLst/>
      </c:spPr>
    </c:plotArea>
    <c:legend>
      <c:legendPos val="b"/>
      <c:layout>
        <c:manualLayout>
          <c:xMode val="edge"/>
          <c:yMode val="edge"/>
          <c:x val="0.355596"/>
          <c:y val="0.92909"/>
          <c:w val="0.31551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9659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Sheet1!$A$2:$A$8</c:f>
              <c:strCache>
                <c:ptCount val="7"/>
                <c:pt idx="0">
                  <c:v>个人存款</c:v>
                </c:pt>
                <c:pt idx="1">
                  <c:v>朋友亲戚借款或赠款</c:v>
                </c:pt>
                <c:pt idx="2">
                  <c:v>国内企业入股</c:v>
                </c:pt>
                <c:pt idx="3">
                  <c:v>国外企业入股</c:v>
                </c:pt>
                <c:pt idx="4">
                  <c:v>国内风险投资</c:v>
                </c:pt>
                <c:pt idx="5">
                  <c:v>银行贷款</c:v>
                </c:pt>
                <c:pt idx="6">
                  <c:v>国外风险投资</c:v>
                </c:pt>
              </c:strCache>
            </c:strRef>
          </c:cat>
          <c:val>
            <c:numRef>
              <c:f>Sheet1!$B$2:$B$8</c:f>
              <c:numCache>
                <c:ptCount val="7"/>
                <c:pt idx="0">
                  <c:v>0.718310</c:v>
                </c:pt>
                <c:pt idx="1">
                  <c:v>0.309859</c:v>
                </c:pt>
                <c:pt idx="2">
                  <c:v>0.098592</c:v>
                </c:pt>
                <c:pt idx="3">
                  <c:v>0.098592</c:v>
                </c:pt>
                <c:pt idx="4">
                  <c:v>0.070423</c:v>
                </c:pt>
                <c:pt idx="5">
                  <c:v>0.056338</c:v>
                </c:pt>
                <c:pt idx="6">
                  <c:v>0.042254</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Sheet1!$A$2:$A$8</c:f>
              <c:strCache>
                <c:ptCount val="7"/>
                <c:pt idx="0">
                  <c:v>个人存款</c:v>
                </c:pt>
                <c:pt idx="1">
                  <c:v>朋友亲戚借款或赠款</c:v>
                </c:pt>
                <c:pt idx="2">
                  <c:v>国内企业入股</c:v>
                </c:pt>
                <c:pt idx="3">
                  <c:v>国外企业入股</c:v>
                </c:pt>
                <c:pt idx="4">
                  <c:v>国内风险投资</c:v>
                </c:pt>
                <c:pt idx="5">
                  <c:v>银行贷款</c:v>
                </c:pt>
                <c:pt idx="6">
                  <c:v>国外风险投资</c:v>
                </c:pt>
              </c:strCache>
            </c:strRef>
          </c:cat>
          <c:val>
            <c:numRef>
              <c:f>Sheet1!$C$2:$C$8</c:f>
              <c:numCache>
                <c:ptCount val="7"/>
                <c:pt idx="0">
                  <c:v>0.697674</c:v>
                </c:pt>
                <c:pt idx="1">
                  <c:v>0.232558</c:v>
                </c:pt>
                <c:pt idx="2">
                  <c:v>0.116279</c:v>
                </c:pt>
                <c:pt idx="3">
                  <c:v>0.139535</c:v>
                </c:pt>
                <c:pt idx="4">
                  <c:v>0.069767</c:v>
                </c:pt>
                <c:pt idx="5">
                  <c:v>0.046512</c:v>
                </c:pt>
                <c:pt idx="6">
                  <c:v>0.046512</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Sheet1!$A$2:$A$8</c:f>
              <c:strCache>
                <c:ptCount val="7"/>
                <c:pt idx="0">
                  <c:v>个人存款</c:v>
                </c:pt>
                <c:pt idx="1">
                  <c:v>朋友亲戚借款或赠款</c:v>
                </c:pt>
                <c:pt idx="2">
                  <c:v>国内企业入股</c:v>
                </c:pt>
                <c:pt idx="3">
                  <c:v>国外企业入股</c:v>
                </c:pt>
                <c:pt idx="4">
                  <c:v>国内风险投资</c:v>
                </c:pt>
                <c:pt idx="5">
                  <c:v>银行贷款</c:v>
                </c:pt>
                <c:pt idx="6">
                  <c:v>国外风险投资</c:v>
                </c:pt>
              </c:strCache>
            </c:strRef>
          </c:cat>
          <c:val>
            <c:numRef>
              <c:f>Sheet1!$D$2:$D$8</c:f>
              <c:numCache>
                <c:ptCount val="7"/>
                <c:pt idx="0">
                  <c:v>0.750000</c:v>
                </c:pt>
                <c:pt idx="1">
                  <c:v>0.428571</c:v>
                </c:pt>
                <c:pt idx="2">
                  <c:v>0.071429</c:v>
                </c:pt>
                <c:pt idx="3">
                  <c:v>0.035714</c:v>
                </c:pt>
                <c:pt idx="4">
                  <c:v>0.071429</c:v>
                </c:pt>
                <c:pt idx="5">
                  <c:v>0.071429</c:v>
                </c:pt>
                <c:pt idx="6">
                  <c:v>0.035714</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
        <c:minorUnit val="0.1"/>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Sheet1!$A$2:$A$5</c:f>
              <c:strCache>
                <c:ptCount val="4"/>
                <c:pt idx="0">
                  <c:v>尚未开始盈利</c:v>
                </c:pt>
                <c:pt idx="1">
                  <c:v>1-3年</c:v>
                </c:pt>
                <c:pt idx="2">
                  <c:v>4-6年</c:v>
                </c:pt>
                <c:pt idx="3">
                  <c:v>10年以上</c:v>
                </c:pt>
              </c:strCache>
            </c:strRef>
          </c:cat>
          <c:val>
            <c:numRef>
              <c:f>Sheet1!$B$2:$B$5</c:f>
              <c:numCache>
                <c:ptCount val="4"/>
                <c:pt idx="0">
                  <c:v>0.535211</c:v>
                </c:pt>
                <c:pt idx="1">
                  <c:v>0.394366</c:v>
                </c:pt>
                <c:pt idx="2">
                  <c:v>0.056338</c:v>
                </c:pt>
                <c:pt idx="3">
                  <c:v>0.014085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尚未开始盈利</c:v>
                </c:pt>
                <c:pt idx="1">
                  <c:v>1-3年</c:v>
                </c:pt>
                <c:pt idx="2">
                  <c:v>4-6年</c:v>
                </c:pt>
                <c:pt idx="3">
                  <c:v>10年以上</c:v>
                </c:pt>
              </c:strCache>
            </c:strRef>
          </c:cat>
          <c:val>
            <c:numRef>
              <c:f>Sheet1!$C$2:$C$5</c:f>
              <c:numCache>
                <c:ptCount val="4"/>
                <c:pt idx="0">
                  <c:v>0.441860</c:v>
                </c:pt>
                <c:pt idx="1">
                  <c:v>0.511628</c:v>
                </c:pt>
                <c:pt idx="2">
                  <c:v>0.046512</c:v>
                </c:pt>
                <c:pt idx="3">
                  <c:v>0.000000</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Sheet1!$A$2:$A$5</c:f>
              <c:strCache>
                <c:ptCount val="4"/>
                <c:pt idx="0">
                  <c:v>尚未开始盈利</c:v>
                </c:pt>
                <c:pt idx="1">
                  <c:v>1-3年</c:v>
                </c:pt>
                <c:pt idx="2">
                  <c:v>4-6年</c:v>
                </c:pt>
                <c:pt idx="3">
                  <c:v>10年以上</c:v>
                </c:pt>
              </c:strCache>
            </c:strRef>
          </c:cat>
          <c:val>
            <c:numRef>
              <c:f>Sheet1!$D$2:$D$5</c:f>
              <c:numCache>
                <c:ptCount val="4"/>
                <c:pt idx="0">
                  <c:v>0.678571</c:v>
                </c:pt>
                <c:pt idx="1">
                  <c:v>0.214286</c:v>
                </c:pt>
                <c:pt idx="2">
                  <c:v>0.071429</c:v>
                </c:pt>
                <c:pt idx="3">
                  <c:v>0.035714</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75"/>
        <c:minorUnit val="0.08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Sheet1!$A$2:$A$10</c:f>
              <c:strCache>
                <c:ptCount val="9"/>
                <c:pt idx="0">
                  <c:v>运行成本高</c:v>
                </c:pt>
                <c:pt idx="1">
                  <c:v>对国内市场不够了解</c:v>
                </c:pt>
                <c:pt idx="2">
                  <c:v>融资困难</c:v>
                </c:pt>
                <c:pt idx="3">
                  <c:v>相关创业服务不到位</c:v>
                </c:pt>
                <c:pt idx="4">
                  <c:v>政府相关政策配套不齐</c:v>
                </c:pt>
                <c:pt idx="5">
                  <c:v>技术成果转化比较困难</c:v>
                </c:pt>
                <c:pt idx="6">
                  <c:v>国内研发水平尚不支持</c:v>
                </c:pt>
                <c:pt idx="7">
                  <c:v>企业国际化发展比较困难</c:v>
                </c:pt>
                <c:pt idx="8">
                  <c:v>其它</c:v>
                </c:pt>
              </c:strCache>
            </c:strRef>
          </c:cat>
          <c:val>
            <c:numRef>
              <c:f>Sheet1!$B$2:$B$10</c:f>
              <c:numCache>
                <c:ptCount val="9"/>
                <c:pt idx="0">
                  <c:v>0.563380</c:v>
                </c:pt>
                <c:pt idx="1">
                  <c:v>0.380282</c:v>
                </c:pt>
                <c:pt idx="2">
                  <c:v>0.366197</c:v>
                </c:pt>
                <c:pt idx="3">
                  <c:v>0.267606</c:v>
                </c:pt>
                <c:pt idx="4">
                  <c:v>0.211268</c:v>
                </c:pt>
                <c:pt idx="5">
                  <c:v>0.126761</c:v>
                </c:pt>
                <c:pt idx="6">
                  <c:v>0.084507</c:v>
                </c:pt>
                <c:pt idx="7">
                  <c:v>0.056338</c:v>
                </c:pt>
                <c:pt idx="8">
                  <c:v>0.014085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运行成本高</c:v>
                </c:pt>
                <c:pt idx="1">
                  <c:v>对国内市场不够了解</c:v>
                </c:pt>
                <c:pt idx="2">
                  <c:v>融资困难</c:v>
                </c:pt>
                <c:pt idx="3">
                  <c:v>相关创业服务不到位</c:v>
                </c:pt>
                <c:pt idx="4">
                  <c:v>政府相关政策配套不齐</c:v>
                </c:pt>
                <c:pt idx="5">
                  <c:v>技术成果转化比较困难</c:v>
                </c:pt>
                <c:pt idx="6">
                  <c:v>国内研发水平尚不支持</c:v>
                </c:pt>
                <c:pt idx="7">
                  <c:v>企业国际化发展比较困难</c:v>
                </c:pt>
                <c:pt idx="8">
                  <c:v>其它</c:v>
                </c:pt>
              </c:strCache>
            </c:strRef>
          </c:cat>
          <c:val>
            <c:numRef>
              <c:f>Sheet1!$C$2:$C$10</c:f>
              <c:numCache>
                <c:ptCount val="9"/>
                <c:pt idx="0">
                  <c:v>0.441860</c:v>
                </c:pt>
                <c:pt idx="1">
                  <c:v>0.348837</c:v>
                </c:pt>
                <c:pt idx="2">
                  <c:v>0.395349</c:v>
                </c:pt>
                <c:pt idx="3">
                  <c:v>0.279070</c:v>
                </c:pt>
                <c:pt idx="4">
                  <c:v>0.209302</c:v>
                </c:pt>
                <c:pt idx="5">
                  <c:v>0.139535</c:v>
                </c:pt>
                <c:pt idx="6">
                  <c:v>0.116279</c:v>
                </c:pt>
                <c:pt idx="7">
                  <c:v>0.069767</c:v>
                </c:pt>
                <c:pt idx="8">
                  <c:v>0.023256</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Sheet1!$A$2:$A$10</c:f>
              <c:strCache>
                <c:ptCount val="9"/>
                <c:pt idx="0">
                  <c:v>运行成本高</c:v>
                </c:pt>
                <c:pt idx="1">
                  <c:v>对国内市场不够了解</c:v>
                </c:pt>
                <c:pt idx="2">
                  <c:v>融资困难</c:v>
                </c:pt>
                <c:pt idx="3">
                  <c:v>相关创业服务不到位</c:v>
                </c:pt>
                <c:pt idx="4">
                  <c:v>政府相关政策配套不齐</c:v>
                </c:pt>
                <c:pt idx="5">
                  <c:v>技术成果转化比较困难</c:v>
                </c:pt>
                <c:pt idx="6">
                  <c:v>国内研发水平尚不支持</c:v>
                </c:pt>
                <c:pt idx="7">
                  <c:v>企业国际化发展比较困难</c:v>
                </c:pt>
                <c:pt idx="8">
                  <c:v>其它</c:v>
                </c:pt>
              </c:strCache>
            </c:strRef>
          </c:cat>
          <c:val>
            <c:numRef>
              <c:f>Sheet1!$D$2:$D$10</c:f>
              <c:numCache>
                <c:ptCount val="9"/>
                <c:pt idx="0">
                  <c:v>0.750000</c:v>
                </c:pt>
                <c:pt idx="1">
                  <c:v>0.428571</c:v>
                </c:pt>
                <c:pt idx="2">
                  <c:v>0.321429</c:v>
                </c:pt>
                <c:pt idx="3">
                  <c:v>0.250000</c:v>
                </c:pt>
                <c:pt idx="4">
                  <c:v>0.214286</c:v>
                </c:pt>
                <c:pt idx="5">
                  <c:v>0.107143</c:v>
                </c:pt>
                <c:pt idx="6">
                  <c:v>0.035714</c:v>
                </c:pt>
                <c:pt idx="7">
                  <c:v>0.035714</c:v>
                </c:pt>
                <c:pt idx="8">
                  <c:v>0.000000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2"/>
        <c:minorUnit val="0.1"/>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Sheet1!$A$2:$A$13</c:f>
              <c:strCache>
                <c:ptCount val="12"/>
                <c:pt idx="0">
                  <c:v>市场开拓</c:v>
                </c:pt>
                <c:pt idx="1">
                  <c:v>创业空间支持</c:v>
                </c:pt>
                <c:pt idx="2">
                  <c:v>金融服务</c:v>
                </c:pt>
                <c:pt idx="3">
                  <c:v>创业辅导</c:v>
                </c:pt>
                <c:pt idx="4">
                  <c:v>人力资源服务</c:v>
                </c:pt>
                <c:pt idx="5">
                  <c:v>专利保护</c:v>
                </c:pt>
                <c:pt idx="6">
                  <c:v>技术研发</c:v>
                </c:pt>
                <c:pt idx="7">
                  <c:v>法律支持</c:v>
                </c:pt>
                <c:pt idx="8">
                  <c:v>管理咨询服务</c:v>
                </c:pt>
                <c:pt idx="9">
                  <c:v>税收优惠</c:v>
                </c:pt>
                <c:pt idx="10">
                  <c:v>技术转移</c:v>
                </c:pt>
                <c:pt idx="11">
                  <c:v>其它配套政策</c:v>
                </c:pt>
              </c:strCache>
            </c:strRef>
          </c:cat>
          <c:val>
            <c:numRef>
              <c:f>Sheet1!$B$2:$B$13</c:f>
              <c:numCache>
                <c:ptCount val="12"/>
                <c:pt idx="0">
                  <c:v>0.408451</c:v>
                </c:pt>
                <c:pt idx="1">
                  <c:v>0.352113</c:v>
                </c:pt>
                <c:pt idx="2">
                  <c:v>0.338028</c:v>
                </c:pt>
                <c:pt idx="3">
                  <c:v>0.253521</c:v>
                </c:pt>
                <c:pt idx="4">
                  <c:v>0.197183</c:v>
                </c:pt>
                <c:pt idx="5">
                  <c:v>0.154930</c:v>
                </c:pt>
                <c:pt idx="6">
                  <c:v>0.140845</c:v>
                </c:pt>
                <c:pt idx="7">
                  <c:v>0.112676</c:v>
                </c:pt>
                <c:pt idx="8">
                  <c:v>0.084507</c:v>
                </c:pt>
                <c:pt idx="9">
                  <c:v>0.084507</c:v>
                </c:pt>
                <c:pt idx="10">
                  <c:v>0.070423</c:v>
                </c:pt>
                <c:pt idx="11">
                  <c:v>0.028169</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Sheet1!$A$2:$A$13</c:f>
              <c:strCache>
                <c:ptCount val="12"/>
                <c:pt idx="0">
                  <c:v>市场开拓</c:v>
                </c:pt>
                <c:pt idx="1">
                  <c:v>创业空间支持</c:v>
                </c:pt>
                <c:pt idx="2">
                  <c:v>金融服务</c:v>
                </c:pt>
                <c:pt idx="3">
                  <c:v>创业辅导</c:v>
                </c:pt>
                <c:pt idx="4">
                  <c:v>人力资源服务</c:v>
                </c:pt>
                <c:pt idx="5">
                  <c:v>专利保护</c:v>
                </c:pt>
                <c:pt idx="6">
                  <c:v>技术研发</c:v>
                </c:pt>
                <c:pt idx="7">
                  <c:v>法律支持</c:v>
                </c:pt>
                <c:pt idx="8">
                  <c:v>管理咨询服务</c:v>
                </c:pt>
                <c:pt idx="9">
                  <c:v>税收优惠</c:v>
                </c:pt>
                <c:pt idx="10">
                  <c:v>技术转移</c:v>
                </c:pt>
                <c:pt idx="11">
                  <c:v>其它配套政策</c:v>
                </c:pt>
              </c:strCache>
            </c:strRef>
          </c:cat>
          <c:val>
            <c:numRef>
              <c:f>Sheet1!$C$2:$C$13</c:f>
              <c:numCache>
                <c:ptCount val="12"/>
                <c:pt idx="0">
                  <c:v>0.325581</c:v>
                </c:pt>
                <c:pt idx="1">
                  <c:v>0.372093</c:v>
                </c:pt>
                <c:pt idx="2">
                  <c:v>0.372093</c:v>
                </c:pt>
                <c:pt idx="3">
                  <c:v>0.209302</c:v>
                </c:pt>
                <c:pt idx="4">
                  <c:v>0.232558</c:v>
                </c:pt>
                <c:pt idx="5">
                  <c:v>0.186047</c:v>
                </c:pt>
                <c:pt idx="6">
                  <c:v>0.069767</c:v>
                </c:pt>
                <c:pt idx="7">
                  <c:v>0.116279</c:v>
                </c:pt>
                <c:pt idx="8">
                  <c:v>0.046512</c:v>
                </c:pt>
                <c:pt idx="9">
                  <c:v>0.116279</c:v>
                </c:pt>
                <c:pt idx="10">
                  <c:v>0.093023</c:v>
                </c:pt>
                <c:pt idx="11">
                  <c:v>0.046512</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Sheet1!$A$2:$A$13</c:f>
              <c:strCache>
                <c:ptCount val="12"/>
                <c:pt idx="0">
                  <c:v>市场开拓</c:v>
                </c:pt>
                <c:pt idx="1">
                  <c:v>创业空间支持</c:v>
                </c:pt>
                <c:pt idx="2">
                  <c:v>金融服务</c:v>
                </c:pt>
                <c:pt idx="3">
                  <c:v>创业辅导</c:v>
                </c:pt>
                <c:pt idx="4">
                  <c:v>人力资源服务</c:v>
                </c:pt>
                <c:pt idx="5">
                  <c:v>专利保护</c:v>
                </c:pt>
                <c:pt idx="6">
                  <c:v>技术研发</c:v>
                </c:pt>
                <c:pt idx="7">
                  <c:v>法律支持</c:v>
                </c:pt>
                <c:pt idx="8">
                  <c:v>管理咨询服务</c:v>
                </c:pt>
                <c:pt idx="9">
                  <c:v>税收优惠</c:v>
                </c:pt>
                <c:pt idx="10">
                  <c:v>技术转移</c:v>
                </c:pt>
                <c:pt idx="11">
                  <c:v>其它配套政策</c:v>
                </c:pt>
              </c:strCache>
            </c:strRef>
          </c:cat>
          <c:val>
            <c:numRef>
              <c:f>Sheet1!$D$2:$D$13</c:f>
              <c:numCache>
                <c:ptCount val="12"/>
                <c:pt idx="0">
                  <c:v>0.535714</c:v>
                </c:pt>
                <c:pt idx="1">
                  <c:v>0.321429</c:v>
                </c:pt>
                <c:pt idx="2">
                  <c:v>0.285714</c:v>
                </c:pt>
                <c:pt idx="3">
                  <c:v>0.321429</c:v>
                </c:pt>
                <c:pt idx="4">
                  <c:v>0.142857</c:v>
                </c:pt>
                <c:pt idx="5">
                  <c:v>0.107143</c:v>
                </c:pt>
                <c:pt idx="6">
                  <c:v>0.250000</c:v>
                </c:pt>
                <c:pt idx="7">
                  <c:v>0.107143</c:v>
                </c:pt>
                <c:pt idx="8">
                  <c:v>0.142857</c:v>
                </c:pt>
                <c:pt idx="9">
                  <c:v>0.035714</c:v>
                </c:pt>
                <c:pt idx="10">
                  <c:v>0.035714</c:v>
                </c:pt>
                <c:pt idx="11">
                  <c:v>0.000000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Sheet1!$A$2:$A$21</c:f>
              <c:strCache>
                <c:ptCount val="20"/>
                <c:pt idx="0">
                  <c:v>1949年前</c:v>
                </c:pt>
                <c:pt idx="1">
                  <c:v>1949-1977年</c:v>
                </c:pt>
                <c:pt idx="2">
                  <c:v>1978-2000年</c:v>
                </c:pt>
                <c:pt idx="3">
                  <c:v>2001年</c:v>
                </c:pt>
                <c:pt idx="4">
                  <c:v>2002年</c:v>
                </c:pt>
                <c:pt idx="5">
                  <c:v>2003年</c:v>
                </c:pt>
                <c:pt idx="6">
                  <c:v>2004年</c:v>
                </c:pt>
                <c:pt idx="7">
                  <c:v>2005年</c:v>
                </c:pt>
                <c:pt idx="8">
                  <c:v>2006年</c:v>
                </c:pt>
                <c:pt idx="9">
                  <c:v>2007年</c:v>
                </c:pt>
                <c:pt idx="10">
                  <c:v>2008年</c:v>
                </c:pt>
                <c:pt idx="11">
                  <c:v>2009年</c:v>
                </c:pt>
                <c:pt idx="12">
                  <c:v>2010年</c:v>
                </c:pt>
                <c:pt idx="13">
                  <c:v>2011年</c:v>
                </c:pt>
                <c:pt idx="14">
                  <c:v>2012年</c:v>
                </c:pt>
                <c:pt idx="15">
                  <c:v>2013年</c:v>
                </c:pt>
                <c:pt idx="16">
                  <c:v>2014年</c:v>
                </c:pt>
                <c:pt idx="17">
                  <c:v>2015年</c:v>
                </c:pt>
                <c:pt idx="18">
                  <c:v>2016年</c:v>
                </c:pt>
                <c:pt idx="19">
                  <c:v>2017年</c:v>
                </c:pt>
              </c:strCache>
            </c:strRef>
          </c:cat>
          <c:val>
            <c:numRef>
              <c:f>Sheet1!$B$2:$B$21</c:f>
              <c:numCache>
                <c:ptCount val="20"/>
                <c:pt idx="0">
                  <c:v>0.002660</c:v>
                </c:pt>
                <c:pt idx="1">
                  <c:v>0.004654</c:v>
                </c:pt>
                <c:pt idx="2">
                  <c:v>0.023936</c:v>
                </c:pt>
                <c:pt idx="3">
                  <c:v>0.011303</c:v>
                </c:pt>
                <c:pt idx="4">
                  <c:v>0.014628</c:v>
                </c:pt>
                <c:pt idx="5">
                  <c:v>0.011303</c:v>
                </c:pt>
                <c:pt idx="6">
                  <c:v>0.013963</c:v>
                </c:pt>
                <c:pt idx="7">
                  <c:v>0.013298</c:v>
                </c:pt>
                <c:pt idx="8">
                  <c:v>0.023271</c:v>
                </c:pt>
                <c:pt idx="9">
                  <c:v>0.033910</c:v>
                </c:pt>
                <c:pt idx="10">
                  <c:v>0.054886</c:v>
                </c:pt>
                <c:pt idx="11">
                  <c:v>0.074967</c:v>
                </c:pt>
                <c:pt idx="12">
                  <c:v>0.099732</c:v>
                </c:pt>
                <c:pt idx="13">
                  <c:v>0.096386</c:v>
                </c:pt>
                <c:pt idx="14">
                  <c:v>0.112450</c:v>
                </c:pt>
                <c:pt idx="15">
                  <c:v>0.101740</c:v>
                </c:pt>
                <c:pt idx="16">
                  <c:v>0.125837</c:v>
                </c:pt>
                <c:pt idx="17">
                  <c:v>0.096386</c:v>
                </c:pt>
                <c:pt idx="18">
                  <c:v>0.059572</c:v>
                </c:pt>
                <c:pt idx="19">
                  <c:v>0.024766</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Sheet1!$A$2:$A$21</c:f>
              <c:strCache>
                <c:ptCount val="20"/>
                <c:pt idx="0">
                  <c:v>1949年前</c:v>
                </c:pt>
                <c:pt idx="1">
                  <c:v>1949-1977年</c:v>
                </c:pt>
                <c:pt idx="2">
                  <c:v>1978-2000年</c:v>
                </c:pt>
                <c:pt idx="3">
                  <c:v>2001年</c:v>
                </c:pt>
                <c:pt idx="4">
                  <c:v>2002年</c:v>
                </c:pt>
                <c:pt idx="5">
                  <c:v>2003年</c:v>
                </c:pt>
                <c:pt idx="6">
                  <c:v>2004年</c:v>
                </c:pt>
                <c:pt idx="7">
                  <c:v>2005年</c:v>
                </c:pt>
                <c:pt idx="8">
                  <c:v>2006年</c:v>
                </c:pt>
                <c:pt idx="9">
                  <c:v>2007年</c:v>
                </c:pt>
                <c:pt idx="10">
                  <c:v>2008年</c:v>
                </c:pt>
                <c:pt idx="11">
                  <c:v>2009年</c:v>
                </c:pt>
                <c:pt idx="12">
                  <c:v>2010年</c:v>
                </c:pt>
                <c:pt idx="13">
                  <c:v>2011年</c:v>
                </c:pt>
                <c:pt idx="14">
                  <c:v>2012年</c:v>
                </c:pt>
                <c:pt idx="15">
                  <c:v>2013年</c:v>
                </c:pt>
                <c:pt idx="16">
                  <c:v>2014年</c:v>
                </c:pt>
                <c:pt idx="17">
                  <c:v>2015年</c:v>
                </c:pt>
                <c:pt idx="18">
                  <c:v>2016年</c:v>
                </c:pt>
                <c:pt idx="19">
                  <c:v>2017年</c:v>
                </c:pt>
              </c:strCache>
            </c:strRef>
          </c:cat>
          <c:val>
            <c:numRef>
              <c:f>Sheet1!$C$2:$C$21</c:f>
              <c:numCache>
                <c:ptCount val="20"/>
                <c:pt idx="0">
                  <c:v>0.002853</c:v>
                </c:pt>
                <c:pt idx="1">
                  <c:v>0.005706</c:v>
                </c:pt>
                <c:pt idx="2">
                  <c:v>0.037090</c:v>
                </c:pt>
                <c:pt idx="3">
                  <c:v>0.011412</c:v>
                </c:pt>
                <c:pt idx="4">
                  <c:v>0.019971</c:v>
                </c:pt>
                <c:pt idx="5">
                  <c:v>0.012839</c:v>
                </c:pt>
                <c:pt idx="6">
                  <c:v>0.015692</c:v>
                </c:pt>
                <c:pt idx="7">
                  <c:v>0.012839</c:v>
                </c:pt>
                <c:pt idx="8">
                  <c:v>0.021398</c:v>
                </c:pt>
                <c:pt idx="9">
                  <c:v>0.037090</c:v>
                </c:pt>
                <c:pt idx="10">
                  <c:v>0.061693</c:v>
                </c:pt>
                <c:pt idx="11">
                  <c:v>0.080344</c:v>
                </c:pt>
                <c:pt idx="12">
                  <c:v>0.104735</c:v>
                </c:pt>
                <c:pt idx="13">
                  <c:v>0.103300</c:v>
                </c:pt>
                <c:pt idx="14">
                  <c:v>0.109039</c:v>
                </c:pt>
                <c:pt idx="15">
                  <c:v>0.100430</c:v>
                </c:pt>
                <c:pt idx="16">
                  <c:v>0.114778</c:v>
                </c:pt>
                <c:pt idx="17">
                  <c:v>0.073171</c:v>
                </c:pt>
                <c:pt idx="18">
                  <c:v>0.045911</c:v>
                </c:pt>
                <c:pt idx="19">
                  <c:v>0.028694</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Sheet1!$A$2:$A$21</c:f>
              <c:strCache>
                <c:ptCount val="20"/>
                <c:pt idx="0">
                  <c:v>1949年前</c:v>
                </c:pt>
                <c:pt idx="1">
                  <c:v>1949-1977年</c:v>
                </c:pt>
                <c:pt idx="2">
                  <c:v>1978-2000年</c:v>
                </c:pt>
                <c:pt idx="3">
                  <c:v>2001年</c:v>
                </c:pt>
                <c:pt idx="4">
                  <c:v>2002年</c:v>
                </c:pt>
                <c:pt idx="5">
                  <c:v>2003年</c:v>
                </c:pt>
                <c:pt idx="6">
                  <c:v>2004年</c:v>
                </c:pt>
                <c:pt idx="7">
                  <c:v>2005年</c:v>
                </c:pt>
                <c:pt idx="8">
                  <c:v>2006年</c:v>
                </c:pt>
                <c:pt idx="9">
                  <c:v>2007年</c:v>
                </c:pt>
                <c:pt idx="10">
                  <c:v>2008年</c:v>
                </c:pt>
                <c:pt idx="11">
                  <c:v>2009年</c:v>
                </c:pt>
                <c:pt idx="12">
                  <c:v>2010年</c:v>
                </c:pt>
                <c:pt idx="13">
                  <c:v>2011年</c:v>
                </c:pt>
                <c:pt idx="14">
                  <c:v>2012年</c:v>
                </c:pt>
                <c:pt idx="15">
                  <c:v>2013年</c:v>
                </c:pt>
                <c:pt idx="16">
                  <c:v>2014年</c:v>
                </c:pt>
                <c:pt idx="17">
                  <c:v>2015年</c:v>
                </c:pt>
                <c:pt idx="18">
                  <c:v>2016年</c:v>
                </c:pt>
                <c:pt idx="19">
                  <c:v>2017年</c:v>
                </c:pt>
              </c:strCache>
            </c:strRef>
          </c:cat>
          <c:val>
            <c:numRef>
              <c:f>Sheet1!$D$2:$D$21</c:f>
              <c:numCache>
                <c:ptCount val="20"/>
                <c:pt idx="0">
                  <c:v>0.002491</c:v>
                </c:pt>
                <c:pt idx="1">
                  <c:v>0.003736</c:v>
                </c:pt>
                <c:pt idx="2">
                  <c:v>0.012453</c:v>
                </c:pt>
                <c:pt idx="3">
                  <c:v>0.011208</c:v>
                </c:pt>
                <c:pt idx="4">
                  <c:v>0.009963</c:v>
                </c:pt>
                <c:pt idx="5">
                  <c:v>0.009963</c:v>
                </c:pt>
                <c:pt idx="6">
                  <c:v>0.012453</c:v>
                </c:pt>
                <c:pt idx="7">
                  <c:v>0.013699</c:v>
                </c:pt>
                <c:pt idx="8">
                  <c:v>0.024907</c:v>
                </c:pt>
                <c:pt idx="9">
                  <c:v>0.031133</c:v>
                </c:pt>
                <c:pt idx="10">
                  <c:v>0.048934</c:v>
                </c:pt>
                <c:pt idx="11">
                  <c:v>0.070263</c:v>
                </c:pt>
                <c:pt idx="12">
                  <c:v>0.095358</c:v>
                </c:pt>
                <c:pt idx="13">
                  <c:v>0.090339</c:v>
                </c:pt>
                <c:pt idx="14">
                  <c:v>0.115433</c:v>
                </c:pt>
                <c:pt idx="15">
                  <c:v>0.102886</c:v>
                </c:pt>
                <c:pt idx="16">
                  <c:v>0.135508</c:v>
                </c:pt>
                <c:pt idx="17">
                  <c:v>0.116688</c:v>
                </c:pt>
                <c:pt idx="18">
                  <c:v>0.071518</c:v>
                </c:pt>
                <c:pt idx="19">
                  <c:v>0.021330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35"/>
        <c:minorUnit val="0.01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Sheet1!$A$2:$A$7</c:f>
              <c:strCache>
                <c:ptCount val="6"/>
                <c:pt idx="0">
                  <c:v>非常大</c:v>
                </c:pt>
                <c:pt idx="1">
                  <c:v>较大</c:v>
                </c:pt>
                <c:pt idx="2">
                  <c:v>一般</c:v>
                </c:pt>
                <c:pt idx="3">
                  <c:v>很小</c:v>
                </c:pt>
                <c:pt idx="4">
                  <c:v>没帮助</c:v>
                </c:pt>
                <c:pt idx="5">
                  <c:v>不清楚</c:v>
                </c:pt>
              </c:strCache>
            </c:strRef>
          </c:cat>
          <c:val>
            <c:numRef>
              <c:f>Sheet1!$B$2:$B$7</c:f>
              <c:numCache>
                <c:ptCount val="6"/>
                <c:pt idx="0">
                  <c:v>0.154930</c:v>
                </c:pt>
                <c:pt idx="1">
                  <c:v>0.225352</c:v>
                </c:pt>
                <c:pt idx="2">
                  <c:v>0.295775</c:v>
                </c:pt>
                <c:pt idx="3">
                  <c:v>0.070423</c:v>
                </c:pt>
                <c:pt idx="4">
                  <c:v>0.112676</c:v>
                </c:pt>
                <c:pt idx="5">
                  <c:v>0.140845</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非常大</c:v>
                </c:pt>
                <c:pt idx="1">
                  <c:v>较大</c:v>
                </c:pt>
                <c:pt idx="2">
                  <c:v>一般</c:v>
                </c:pt>
                <c:pt idx="3">
                  <c:v>很小</c:v>
                </c:pt>
                <c:pt idx="4">
                  <c:v>没帮助</c:v>
                </c:pt>
                <c:pt idx="5">
                  <c:v>不清楚</c:v>
                </c:pt>
              </c:strCache>
            </c:strRef>
          </c:cat>
          <c:val>
            <c:numRef>
              <c:f>Sheet1!$C$2:$C$7</c:f>
              <c:numCache>
                <c:ptCount val="6"/>
                <c:pt idx="0">
                  <c:v>0.232558</c:v>
                </c:pt>
                <c:pt idx="1">
                  <c:v>0.255814</c:v>
                </c:pt>
                <c:pt idx="2">
                  <c:v>0.209302</c:v>
                </c:pt>
                <c:pt idx="3">
                  <c:v>0.046512</c:v>
                </c:pt>
                <c:pt idx="4">
                  <c:v>0.139535</c:v>
                </c:pt>
                <c:pt idx="5">
                  <c:v>0.116279</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非常大</c:v>
                </c:pt>
                <c:pt idx="1">
                  <c:v>较大</c:v>
                </c:pt>
                <c:pt idx="2">
                  <c:v>一般</c:v>
                </c:pt>
                <c:pt idx="3">
                  <c:v>很小</c:v>
                </c:pt>
                <c:pt idx="4">
                  <c:v>没帮助</c:v>
                </c:pt>
                <c:pt idx="5">
                  <c:v>不清楚</c:v>
                </c:pt>
              </c:strCache>
            </c:strRef>
          </c:cat>
          <c:val>
            <c:numRef>
              <c:f>Sheet1!$D$2:$D$7</c:f>
              <c:numCache>
                <c:ptCount val="6"/>
                <c:pt idx="0">
                  <c:v>0.035714</c:v>
                </c:pt>
                <c:pt idx="1">
                  <c:v>0.178571</c:v>
                </c:pt>
                <c:pt idx="2">
                  <c:v>0.428571</c:v>
                </c:pt>
                <c:pt idx="3">
                  <c:v>0.107143</c:v>
                </c:pt>
                <c:pt idx="4">
                  <c:v>0.071429</c:v>
                </c:pt>
                <c:pt idx="5">
                  <c:v>0.178571</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Sheet1!$A$2:$A$9</c:f>
              <c:strCache>
                <c:ptCount val="8"/>
                <c:pt idx="0">
                  <c:v>小学及以下</c:v>
                </c:pt>
                <c:pt idx="1">
                  <c:v>初中</c:v>
                </c:pt>
                <c:pt idx="2">
                  <c:v>高中</c:v>
                </c:pt>
                <c:pt idx="3">
                  <c:v>本科</c:v>
                </c:pt>
                <c:pt idx="4">
                  <c:v>硕士研究生</c:v>
                </c:pt>
                <c:pt idx="5">
                  <c:v>博士研究生</c:v>
                </c:pt>
                <c:pt idx="6">
                  <c:v>专科</c:v>
                </c:pt>
                <c:pt idx="7">
                  <c:v>其它</c:v>
                </c:pt>
              </c:strCache>
            </c:strRef>
          </c:cat>
          <c:val>
            <c:numRef>
              <c:f>Sheet1!$B$2:$B$9</c:f>
              <c:numCache>
                <c:ptCount val="8"/>
                <c:pt idx="0">
                  <c:v>0.011379</c:v>
                </c:pt>
                <c:pt idx="1">
                  <c:v>0.015395</c:v>
                </c:pt>
                <c:pt idx="2">
                  <c:v>0.297858</c:v>
                </c:pt>
                <c:pt idx="3">
                  <c:v>0.515395</c:v>
                </c:pt>
                <c:pt idx="4">
                  <c:v>0.121151</c:v>
                </c:pt>
                <c:pt idx="5">
                  <c:v>0.006693</c:v>
                </c:pt>
                <c:pt idx="6">
                  <c:v>0.031459</c:v>
                </c:pt>
                <c:pt idx="7">
                  <c:v>0.000669</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小学及以下</c:v>
                </c:pt>
                <c:pt idx="1">
                  <c:v>初中</c:v>
                </c:pt>
                <c:pt idx="2">
                  <c:v>高中</c:v>
                </c:pt>
                <c:pt idx="3">
                  <c:v>本科</c:v>
                </c:pt>
                <c:pt idx="4">
                  <c:v>硕士研究生</c:v>
                </c:pt>
                <c:pt idx="5">
                  <c:v>博士研究生</c:v>
                </c:pt>
                <c:pt idx="6">
                  <c:v>专科</c:v>
                </c:pt>
                <c:pt idx="7">
                  <c:v>其它</c:v>
                </c:pt>
              </c:strCache>
            </c:strRef>
          </c:cat>
          <c:val>
            <c:numRef>
              <c:f>Sheet1!$C$2:$C$9</c:f>
              <c:numCache>
                <c:ptCount val="8"/>
                <c:pt idx="0">
                  <c:v>0.017217</c:v>
                </c:pt>
                <c:pt idx="1">
                  <c:v>0.018651</c:v>
                </c:pt>
                <c:pt idx="2">
                  <c:v>0.328551</c:v>
                </c:pt>
                <c:pt idx="3">
                  <c:v>0.502152</c:v>
                </c:pt>
                <c:pt idx="4">
                  <c:v>0.101865</c:v>
                </c:pt>
                <c:pt idx="5">
                  <c:v>0.012912</c:v>
                </c:pt>
                <c:pt idx="6">
                  <c:v>0.018651</c:v>
                </c:pt>
                <c:pt idx="7">
                  <c:v>0.000000</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Sheet1!$A$2:$A$9</c:f>
              <c:strCache>
                <c:ptCount val="8"/>
                <c:pt idx="0">
                  <c:v>小学及以下</c:v>
                </c:pt>
                <c:pt idx="1">
                  <c:v>初中</c:v>
                </c:pt>
                <c:pt idx="2">
                  <c:v>高中</c:v>
                </c:pt>
                <c:pt idx="3">
                  <c:v>本科</c:v>
                </c:pt>
                <c:pt idx="4">
                  <c:v>硕士研究生</c:v>
                </c:pt>
                <c:pt idx="5">
                  <c:v>博士研究生</c:v>
                </c:pt>
                <c:pt idx="6">
                  <c:v>专科</c:v>
                </c:pt>
                <c:pt idx="7">
                  <c:v>其它</c:v>
                </c:pt>
              </c:strCache>
            </c:strRef>
          </c:cat>
          <c:val>
            <c:numRef>
              <c:f>Sheet1!$D$2:$D$9</c:f>
              <c:numCache>
                <c:ptCount val="8"/>
                <c:pt idx="0">
                  <c:v>0.006274</c:v>
                </c:pt>
                <c:pt idx="1">
                  <c:v>0.012547</c:v>
                </c:pt>
                <c:pt idx="2">
                  <c:v>0.271016</c:v>
                </c:pt>
                <c:pt idx="3">
                  <c:v>0.526976</c:v>
                </c:pt>
                <c:pt idx="4">
                  <c:v>0.138018</c:v>
                </c:pt>
                <c:pt idx="5">
                  <c:v>0.001255</c:v>
                </c:pt>
                <c:pt idx="6">
                  <c:v>0.042660</c:v>
                </c:pt>
                <c:pt idx="7">
                  <c:v>0.001255</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9102"/>
          <c:y val="0.0449305"/>
          <c:w val="0.92383"/>
          <c:h val="0.78958"/>
        </c:manualLayout>
      </c:layout>
      <c:areaChart>
        <c:grouping val="standard"/>
        <c:varyColors val="0"/>
        <c:ser>
          <c:idx val="0"/>
          <c:order val="0"/>
          <c:tx>
            <c:strRef>
              <c:f>Sheet1!$B$1</c:f>
              <c:strCache>
                <c:ptCount val="1"/>
                <c:pt idx="0">
                  <c:v>总计</c:v>
                </c:pt>
              </c:strCache>
            </c:strRef>
          </c:tx>
          <c:spPr>
            <a:solidFill>
              <a:srgbClr val="D1D1D1"/>
            </a:solidFill>
            <a:ln w="12700" cap="flat">
              <a:noFill/>
              <a:miter lim="400000"/>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Sheet1!$A$2:$A$17</c:f>
              <c:strCache>
                <c:ptCount val="16"/>
                <c:pt idx="0">
                  <c:v>英国</c:v>
                </c:pt>
                <c:pt idx="1">
                  <c:v>美国</c:v>
                </c:pt>
                <c:pt idx="2">
                  <c:v>其它</c:v>
                </c:pt>
                <c:pt idx="3">
                  <c:v>澳大利亚</c:v>
                </c:pt>
                <c:pt idx="4">
                  <c:v>日本</c:v>
                </c:pt>
                <c:pt idx="5">
                  <c:v>韩国</c:v>
                </c:pt>
                <c:pt idx="6">
                  <c:v>加拿大</c:v>
                </c:pt>
                <c:pt idx="7">
                  <c:v>法国</c:v>
                </c:pt>
                <c:pt idx="8">
                  <c:v>德国</c:v>
                </c:pt>
                <c:pt idx="9">
                  <c:v>俄罗斯</c:v>
                </c:pt>
                <c:pt idx="10">
                  <c:v>新西兰</c:v>
                </c:pt>
                <c:pt idx="11">
                  <c:v>中国香港</c:v>
                </c:pt>
                <c:pt idx="12">
                  <c:v>荷兰</c:v>
                </c:pt>
                <c:pt idx="13">
                  <c:v>中国澳门</c:v>
                </c:pt>
                <c:pt idx="14">
                  <c:v>瑞典</c:v>
                </c:pt>
                <c:pt idx="15">
                  <c:v>中国台湾</c:v>
                </c:pt>
              </c:strCache>
            </c:strRef>
          </c:cat>
          <c:val>
            <c:numRef>
              <c:f>Sheet1!$B$2:$B$17</c:f>
              <c:numCache>
                <c:ptCount val="16"/>
                <c:pt idx="0">
                  <c:v>0.191432</c:v>
                </c:pt>
                <c:pt idx="1">
                  <c:v>0.180054</c:v>
                </c:pt>
                <c:pt idx="2">
                  <c:v>0.136546</c:v>
                </c:pt>
                <c:pt idx="3">
                  <c:v>0.101740</c:v>
                </c:pt>
                <c:pt idx="4">
                  <c:v>0.100402</c:v>
                </c:pt>
                <c:pt idx="5">
                  <c:v>0.088353</c:v>
                </c:pt>
                <c:pt idx="6">
                  <c:v>0.045515</c:v>
                </c:pt>
                <c:pt idx="7">
                  <c:v>0.044846</c:v>
                </c:pt>
                <c:pt idx="8">
                  <c:v>0.028782</c:v>
                </c:pt>
                <c:pt idx="9">
                  <c:v>0.026774</c:v>
                </c:pt>
                <c:pt idx="10">
                  <c:v>0.020750</c:v>
                </c:pt>
                <c:pt idx="11">
                  <c:v>0.016064</c:v>
                </c:pt>
                <c:pt idx="12">
                  <c:v>0.006693</c:v>
                </c:pt>
                <c:pt idx="13">
                  <c:v>0.004685</c:v>
                </c:pt>
                <c:pt idx="14">
                  <c:v>0.004016</c:v>
                </c:pt>
                <c:pt idx="15">
                  <c:v>0.003347</c:v>
                </c:pt>
              </c:numCache>
            </c:numRef>
          </c:val>
        </c:ser>
        <c:axId val="2094734552"/>
        <c:axId val="2094734553"/>
      </c:areaChart>
      <c:barChart>
        <c:barDir val="col"/>
        <c:grouping val="clustered"/>
        <c:varyColors val="0"/>
        <c:ser>
          <c:idx val="1"/>
          <c:order val="1"/>
          <c:tx>
            <c:strRef>
              <c:f>Sheet1!$C$1</c:f>
              <c:strCache>
                <c:ptCount val="1"/>
                <c:pt idx="0">
                  <c:v>男</c:v>
                </c:pt>
              </c:strCache>
            </c:strRef>
          </c:tx>
          <c:spPr>
            <a:solidFill>
              <a:schemeClr val="accent1"/>
            </a:soli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Sheet1!$A$2:$A$17</c:f>
              <c:strCache>
                <c:ptCount val="16"/>
                <c:pt idx="0">
                  <c:v>英国</c:v>
                </c:pt>
                <c:pt idx="1">
                  <c:v>美国</c:v>
                </c:pt>
                <c:pt idx="2">
                  <c:v>其它</c:v>
                </c:pt>
                <c:pt idx="3">
                  <c:v>澳大利亚</c:v>
                </c:pt>
                <c:pt idx="4">
                  <c:v>日本</c:v>
                </c:pt>
                <c:pt idx="5">
                  <c:v>韩国</c:v>
                </c:pt>
                <c:pt idx="6">
                  <c:v>加拿大</c:v>
                </c:pt>
                <c:pt idx="7">
                  <c:v>法国</c:v>
                </c:pt>
                <c:pt idx="8">
                  <c:v>德国</c:v>
                </c:pt>
                <c:pt idx="9">
                  <c:v>俄罗斯</c:v>
                </c:pt>
                <c:pt idx="10">
                  <c:v>新西兰</c:v>
                </c:pt>
                <c:pt idx="11">
                  <c:v>中国香港</c:v>
                </c:pt>
                <c:pt idx="12">
                  <c:v>荷兰</c:v>
                </c:pt>
                <c:pt idx="13">
                  <c:v>中国澳门</c:v>
                </c:pt>
                <c:pt idx="14">
                  <c:v>瑞典</c:v>
                </c:pt>
                <c:pt idx="15">
                  <c:v>中国台湾</c:v>
                </c:pt>
              </c:strCache>
            </c:strRef>
          </c:cat>
          <c:val>
            <c:numRef>
              <c:f>Sheet1!$C$2:$C$17</c:f>
              <c:numCache>
                <c:ptCount val="16"/>
                <c:pt idx="0">
                  <c:v>0.153515</c:v>
                </c:pt>
                <c:pt idx="1">
                  <c:v>0.212339</c:v>
                </c:pt>
                <c:pt idx="2">
                  <c:v>0.133429</c:v>
                </c:pt>
                <c:pt idx="3">
                  <c:v>0.113343</c:v>
                </c:pt>
                <c:pt idx="4">
                  <c:v>0.101865</c:v>
                </c:pt>
                <c:pt idx="5">
                  <c:v>0.088953</c:v>
                </c:pt>
                <c:pt idx="6">
                  <c:v>0.051650</c:v>
                </c:pt>
                <c:pt idx="7">
                  <c:v>0.032999</c:v>
                </c:pt>
                <c:pt idx="8">
                  <c:v>0.034433</c:v>
                </c:pt>
                <c:pt idx="9">
                  <c:v>0.030129</c:v>
                </c:pt>
                <c:pt idx="10">
                  <c:v>0.015782</c:v>
                </c:pt>
                <c:pt idx="11">
                  <c:v>0.012912</c:v>
                </c:pt>
                <c:pt idx="12">
                  <c:v>0.005739</c:v>
                </c:pt>
                <c:pt idx="13">
                  <c:v>0.005739</c:v>
                </c:pt>
                <c:pt idx="14">
                  <c:v>0.004304</c:v>
                </c:pt>
                <c:pt idx="15">
                  <c:v>0.002869</c:v>
                </c:pt>
              </c:numCache>
            </c:numRef>
          </c:val>
        </c:ser>
        <c:ser>
          <c:idx val="2"/>
          <c:order val="2"/>
          <c:tx>
            <c:strRef>
              <c:f>Sheet1!$D$1</c:f>
              <c:strCache>
                <c:ptCount val="1"/>
                <c:pt idx="0">
                  <c:v>女</c:v>
                </c:pt>
              </c:strCache>
            </c:strRef>
          </c:tx>
          <c:spPr>
            <a:solidFill>
              <a:schemeClr val="accent2"/>
            </a:soli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Sheet1!$A$2:$A$17</c:f>
              <c:strCache>
                <c:ptCount val="16"/>
                <c:pt idx="0">
                  <c:v>英国</c:v>
                </c:pt>
                <c:pt idx="1">
                  <c:v>美国</c:v>
                </c:pt>
                <c:pt idx="2">
                  <c:v>其它</c:v>
                </c:pt>
                <c:pt idx="3">
                  <c:v>澳大利亚</c:v>
                </c:pt>
                <c:pt idx="4">
                  <c:v>日本</c:v>
                </c:pt>
                <c:pt idx="5">
                  <c:v>韩国</c:v>
                </c:pt>
                <c:pt idx="6">
                  <c:v>加拿大</c:v>
                </c:pt>
                <c:pt idx="7">
                  <c:v>法国</c:v>
                </c:pt>
                <c:pt idx="8">
                  <c:v>德国</c:v>
                </c:pt>
                <c:pt idx="9">
                  <c:v>俄罗斯</c:v>
                </c:pt>
                <c:pt idx="10">
                  <c:v>新西兰</c:v>
                </c:pt>
                <c:pt idx="11">
                  <c:v>中国香港</c:v>
                </c:pt>
                <c:pt idx="12">
                  <c:v>荷兰</c:v>
                </c:pt>
                <c:pt idx="13">
                  <c:v>中国澳门</c:v>
                </c:pt>
                <c:pt idx="14">
                  <c:v>瑞典</c:v>
                </c:pt>
                <c:pt idx="15">
                  <c:v>中国台湾</c:v>
                </c:pt>
              </c:strCache>
            </c:strRef>
          </c:cat>
          <c:val>
            <c:numRef>
              <c:f>Sheet1!$D$2:$D$17</c:f>
              <c:numCache>
                <c:ptCount val="16"/>
                <c:pt idx="0">
                  <c:v>0.224592</c:v>
                </c:pt>
                <c:pt idx="1">
                  <c:v>0.151819</c:v>
                </c:pt>
                <c:pt idx="2">
                  <c:v>0.139272</c:v>
                </c:pt>
                <c:pt idx="3">
                  <c:v>0.091593</c:v>
                </c:pt>
                <c:pt idx="4">
                  <c:v>0.099122</c:v>
                </c:pt>
                <c:pt idx="5">
                  <c:v>0.087829</c:v>
                </c:pt>
                <c:pt idx="6">
                  <c:v>0.040151</c:v>
                </c:pt>
                <c:pt idx="7">
                  <c:v>0.055207</c:v>
                </c:pt>
                <c:pt idx="8">
                  <c:v>0.023839</c:v>
                </c:pt>
                <c:pt idx="9">
                  <c:v>0.023839</c:v>
                </c:pt>
                <c:pt idx="10">
                  <c:v>0.025094</c:v>
                </c:pt>
                <c:pt idx="11">
                  <c:v>0.018821</c:v>
                </c:pt>
                <c:pt idx="12">
                  <c:v>0.007528</c:v>
                </c:pt>
                <c:pt idx="13">
                  <c:v>0.003764</c:v>
                </c:pt>
                <c:pt idx="14">
                  <c:v>0.003764</c:v>
                </c:pt>
                <c:pt idx="15">
                  <c:v>0.003764</c:v>
                </c:pt>
              </c:numCache>
            </c:numRef>
          </c:val>
        </c:ser>
        <c:gapWidth val="150"/>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075"/>
        <c:minorUnit val="0.0375"/>
      </c:valAx>
      <c:spPr>
        <a:noFill/>
        <a:ln w="12700" cap="flat">
          <a:noFill/>
          <a:miter lim="400000"/>
        </a:ln>
        <a:effectLst/>
      </c:spPr>
    </c:plotArea>
    <c:legend>
      <c:legendPos val="b"/>
      <c:layout>
        <c:manualLayout>
          <c:xMode val="edge"/>
          <c:yMode val="edge"/>
          <c:x val="0.351429"/>
          <c:y val="0.92909"/>
          <c:w val="0.318095"/>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330049"/>
          <c:w val="0.922812"/>
          <c:h val="0.847265"/>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Sheet1!$A$2:$A$28</c:f>
              <c:strCache>
                <c:ptCount val="27"/>
                <c:pt idx="0">
                  <c:v>经济学与商学</c:v>
                </c:pt>
                <c:pt idx="1">
                  <c:v>艺术与人文科学</c:v>
                </c:pt>
                <c:pt idx="2">
                  <c:v>工程学</c:v>
                </c:pt>
                <c:pt idx="3">
                  <c:v>计算机科学</c:v>
                </c:pt>
                <c:pt idx="4">
                  <c:v>管理学</c:v>
                </c:pt>
                <c:pt idx="5">
                  <c:v>社会科学与公共卫生学</c:v>
                </c:pt>
                <c:pt idx="6">
                  <c:v>语言学</c:v>
                </c:pt>
                <c:pt idx="7">
                  <c:v>环境/生态学</c:v>
                </c:pt>
                <c:pt idx="8">
                  <c:v>新闻传播学</c:v>
                </c:pt>
                <c:pt idx="9">
                  <c:v>其它</c:v>
                </c:pt>
                <c:pt idx="10">
                  <c:v>化学</c:v>
                </c:pt>
                <c:pt idx="11">
                  <c:v>教育学</c:v>
                </c:pt>
                <c:pt idx="12">
                  <c:v>心理学/精神病学</c:v>
                </c:pt>
                <c:pt idx="13">
                  <c:v>生物与生物化学</c:v>
                </c:pt>
                <c:pt idx="14">
                  <c:v>临床医学</c:v>
                </c:pt>
                <c:pt idx="15">
                  <c:v>法学</c:v>
                </c:pt>
                <c:pt idx="16">
                  <c:v>农业科学</c:v>
                </c:pt>
                <c:pt idx="17">
                  <c:v>数学</c:v>
                </c:pt>
                <c:pt idx="18">
                  <c:v>材料科学</c:v>
                </c:pt>
                <c:pt idx="19">
                  <c:v>食品科学</c:v>
                </c:pt>
                <c:pt idx="20">
                  <c:v>地球科学</c:v>
                </c:pt>
                <c:pt idx="21">
                  <c:v>分子生物学与遗传学</c:v>
                </c:pt>
                <c:pt idx="22">
                  <c:v>物理学</c:v>
                </c:pt>
                <c:pt idx="23">
                  <c:v>药理学与毒理学</c:v>
                </c:pt>
                <c:pt idx="24">
                  <c:v>空间科学</c:v>
                </c:pt>
                <c:pt idx="25">
                  <c:v>植物与动物科学</c:v>
                </c:pt>
                <c:pt idx="26">
                  <c:v>神经科学和人类行为科学</c:v>
                </c:pt>
              </c:strCache>
            </c:strRef>
          </c:cat>
          <c:val>
            <c:numRef>
              <c:f>Sheet1!$B$2:$B$28</c:f>
              <c:numCache>
                <c:ptCount val="27"/>
                <c:pt idx="0">
                  <c:v>0.433066</c:v>
                </c:pt>
                <c:pt idx="1">
                  <c:v>0.139893</c:v>
                </c:pt>
                <c:pt idx="2">
                  <c:v>0.095716</c:v>
                </c:pt>
                <c:pt idx="3">
                  <c:v>0.052878</c:v>
                </c:pt>
                <c:pt idx="4">
                  <c:v>0.050201</c:v>
                </c:pt>
                <c:pt idx="5">
                  <c:v>0.042169</c:v>
                </c:pt>
                <c:pt idx="6">
                  <c:v>0.036145</c:v>
                </c:pt>
                <c:pt idx="7">
                  <c:v>0.018072</c:v>
                </c:pt>
                <c:pt idx="8">
                  <c:v>0.012718</c:v>
                </c:pt>
                <c:pt idx="9">
                  <c:v>0.012718</c:v>
                </c:pt>
                <c:pt idx="10">
                  <c:v>0.012718</c:v>
                </c:pt>
                <c:pt idx="11">
                  <c:v>0.012718</c:v>
                </c:pt>
                <c:pt idx="12">
                  <c:v>0.010710</c:v>
                </c:pt>
                <c:pt idx="13">
                  <c:v>0.010040</c:v>
                </c:pt>
                <c:pt idx="14">
                  <c:v>0.009371</c:v>
                </c:pt>
                <c:pt idx="15">
                  <c:v>0.008701</c:v>
                </c:pt>
                <c:pt idx="16">
                  <c:v>0.008701</c:v>
                </c:pt>
                <c:pt idx="17">
                  <c:v>0.006024</c:v>
                </c:pt>
                <c:pt idx="18">
                  <c:v>0.006024</c:v>
                </c:pt>
                <c:pt idx="19">
                  <c:v>0.005355</c:v>
                </c:pt>
                <c:pt idx="20">
                  <c:v>0.004016</c:v>
                </c:pt>
                <c:pt idx="21">
                  <c:v>0.003347</c:v>
                </c:pt>
                <c:pt idx="22">
                  <c:v>0.002677</c:v>
                </c:pt>
                <c:pt idx="23">
                  <c:v>0.002677</c:v>
                </c:pt>
                <c:pt idx="24">
                  <c:v>0.002008</c:v>
                </c:pt>
                <c:pt idx="25">
                  <c:v>0.000669</c:v>
                </c:pt>
                <c:pt idx="26">
                  <c:v>0.000669</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Sheet1!$A$2:$A$28</c:f>
              <c:strCache>
                <c:ptCount val="27"/>
                <c:pt idx="0">
                  <c:v>经济学与商学</c:v>
                </c:pt>
                <c:pt idx="1">
                  <c:v>艺术与人文科学</c:v>
                </c:pt>
                <c:pt idx="2">
                  <c:v>工程学</c:v>
                </c:pt>
                <c:pt idx="3">
                  <c:v>计算机科学</c:v>
                </c:pt>
                <c:pt idx="4">
                  <c:v>管理学</c:v>
                </c:pt>
                <c:pt idx="5">
                  <c:v>社会科学与公共卫生学</c:v>
                </c:pt>
                <c:pt idx="6">
                  <c:v>语言学</c:v>
                </c:pt>
                <c:pt idx="7">
                  <c:v>环境/生态学</c:v>
                </c:pt>
                <c:pt idx="8">
                  <c:v>新闻传播学</c:v>
                </c:pt>
                <c:pt idx="9">
                  <c:v>其它</c:v>
                </c:pt>
                <c:pt idx="10">
                  <c:v>化学</c:v>
                </c:pt>
                <c:pt idx="11">
                  <c:v>教育学</c:v>
                </c:pt>
                <c:pt idx="12">
                  <c:v>心理学/精神病学</c:v>
                </c:pt>
                <c:pt idx="13">
                  <c:v>生物与生物化学</c:v>
                </c:pt>
                <c:pt idx="14">
                  <c:v>临床医学</c:v>
                </c:pt>
                <c:pt idx="15">
                  <c:v>法学</c:v>
                </c:pt>
                <c:pt idx="16">
                  <c:v>农业科学</c:v>
                </c:pt>
                <c:pt idx="17">
                  <c:v>数学</c:v>
                </c:pt>
                <c:pt idx="18">
                  <c:v>材料科学</c:v>
                </c:pt>
                <c:pt idx="19">
                  <c:v>食品科学</c:v>
                </c:pt>
                <c:pt idx="20">
                  <c:v>地球科学</c:v>
                </c:pt>
                <c:pt idx="21">
                  <c:v>分子生物学与遗传学</c:v>
                </c:pt>
                <c:pt idx="22">
                  <c:v>物理学</c:v>
                </c:pt>
                <c:pt idx="23">
                  <c:v>药理学与毒理学</c:v>
                </c:pt>
                <c:pt idx="24">
                  <c:v>空间科学</c:v>
                </c:pt>
                <c:pt idx="25">
                  <c:v>植物与动物科学</c:v>
                </c:pt>
                <c:pt idx="26">
                  <c:v>神经科学和人类行为科学</c:v>
                </c:pt>
              </c:strCache>
            </c:strRef>
          </c:cat>
          <c:val>
            <c:numRef>
              <c:f>Sheet1!$C$2:$C$28</c:f>
              <c:numCache>
                <c:ptCount val="27"/>
                <c:pt idx="0">
                  <c:v>0.440459</c:v>
                </c:pt>
                <c:pt idx="1">
                  <c:v>0.074605</c:v>
                </c:pt>
                <c:pt idx="2">
                  <c:v>0.152080</c:v>
                </c:pt>
                <c:pt idx="3">
                  <c:v>0.097561</c:v>
                </c:pt>
                <c:pt idx="4">
                  <c:v>0.030129</c:v>
                </c:pt>
                <c:pt idx="5">
                  <c:v>0.031564</c:v>
                </c:pt>
                <c:pt idx="6">
                  <c:v>0.022956</c:v>
                </c:pt>
                <c:pt idx="7">
                  <c:v>0.025825</c:v>
                </c:pt>
                <c:pt idx="8">
                  <c:v>0.005739</c:v>
                </c:pt>
                <c:pt idx="9">
                  <c:v>0.012912</c:v>
                </c:pt>
                <c:pt idx="10">
                  <c:v>0.017217</c:v>
                </c:pt>
                <c:pt idx="11">
                  <c:v>0.004304</c:v>
                </c:pt>
                <c:pt idx="12">
                  <c:v>0.010043</c:v>
                </c:pt>
                <c:pt idx="13">
                  <c:v>0.008608</c:v>
                </c:pt>
                <c:pt idx="14">
                  <c:v>0.010043</c:v>
                </c:pt>
                <c:pt idx="15">
                  <c:v>0.007174</c:v>
                </c:pt>
                <c:pt idx="16">
                  <c:v>0.008608</c:v>
                </c:pt>
                <c:pt idx="17">
                  <c:v>0.007174</c:v>
                </c:pt>
                <c:pt idx="18">
                  <c:v>0.010043</c:v>
                </c:pt>
                <c:pt idx="19">
                  <c:v>0.002869</c:v>
                </c:pt>
                <c:pt idx="20">
                  <c:v>0.002869</c:v>
                </c:pt>
                <c:pt idx="21">
                  <c:v>0.001435</c:v>
                </c:pt>
                <c:pt idx="22">
                  <c:v>0.005739</c:v>
                </c:pt>
                <c:pt idx="23">
                  <c:v>0.002869</c:v>
                </c:pt>
                <c:pt idx="24">
                  <c:v>0.004304</c:v>
                </c:pt>
                <c:pt idx="25">
                  <c:v>0.001435</c:v>
                </c:pt>
                <c:pt idx="26">
                  <c:v>0.001435</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Sheet1!$A$2:$A$28</c:f>
              <c:strCache>
                <c:ptCount val="27"/>
                <c:pt idx="0">
                  <c:v>经济学与商学</c:v>
                </c:pt>
                <c:pt idx="1">
                  <c:v>艺术与人文科学</c:v>
                </c:pt>
                <c:pt idx="2">
                  <c:v>工程学</c:v>
                </c:pt>
                <c:pt idx="3">
                  <c:v>计算机科学</c:v>
                </c:pt>
                <c:pt idx="4">
                  <c:v>管理学</c:v>
                </c:pt>
                <c:pt idx="5">
                  <c:v>社会科学与公共卫生学</c:v>
                </c:pt>
                <c:pt idx="6">
                  <c:v>语言学</c:v>
                </c:pt>
                <c:pt idx="7">
                  <c:v>环境/生态学</c:v>
                </c:pt>
                <c:pt idx="8">
                  <c:v>新闻传播学</c:v>
                </c:pt>
                <c:pt idx="9">
                  <c:v>其它</c:v>
                </c:pt>
                <c:pt idx="10">
                  <c:v>化学</c:v>
                </c:pt>
                <c:pt idx="11">
                  <c:v>教育学</c:v>
                </c:pt>
                <c:pt idx="12">
                  <c:v>心理学/精神病学</c:v>
                </c:pt>
                <c:pt idx="13">
                  <c:v>生物与生物化学</c:v>
                </c:pt>
                <c:pt idx="14">
                  <c:v>临床医学</c:v>
                </c:pt>
                <c:pt idx="15">
                  <c:v>法学</c:v>
                </c:pt>
                <c:pt idx="16">
                  <c:v>农业科学</c:v>
                </c:pt>
                <c:pt idx="17">
                  <c:v>数学</c:v>
                </c:pt>
                <c:pt idx="18">
                  <c:v>材料科学</c:v>
                </c:pt>
                <c:pt idx="19">
                  <c:v>食品科学</c:v>
                </c:pt>
                <c:pt idx="20">
                  <c:v>地球科学</c:v>
                </c:pt>
                <c:pt idx="21">
                  <c:v>分子生物学与遗传学</c:v>
                </c:pt>
                <c:pt idx="22">
                  <c:v>物理学</c:v>
                </c:pt>
                <c:pt idx="23">
                  <c:v>药理学与毒理学</c:v>
                </c:pt>
                <c:pt idx="24">
                  <c:v>空间科学</c:v>
                </c:pt>
                <c:pt idx="25">
                  <c:v>植物与动物科学</c:v>
                </c:pt>
                <c:pt idx="26">
                  <c:v>神经科学和人类行为科学</c:v>
                </c:pt>
              </c:strCache>
            </c:strRef>
          </c:cat>
          <c:val>
            <c:numRef>
              <c:f>Sheet1!$D$2:$D$28</c:f>
              <c:numCache>
                <c:ptCount val="27"/>
                <c:pt idx="0">
                  <c:v>0.426600</c:v>
                </c:pt>
                <c:pt idx="1">
                  <c:v>0.196989</c:v>
                </c:pt>
                <c:pt idx="2">
                  <c:v>0.046424</c:v>
                </c:pt>
                <c:pt idx="3">
                  <c:v>0.013802</c:v>
                </c:pt>
                <c:pt idx="4">
                  <c:v>0.067754</c:v>
                </c:pt>
                <c:pt idx="5">
                  <c:v>0.051443</c:v>
                </c:pt>
                <c:pt idx="6">
                  <c:v>0.047679</c:v>
                </c:pt>
                <c:pt idx="7">
                  <c:v>0.011292</c:v>
                </c:pt>
                <c:pt idx="8">
                  <c:v>0.018821</c:v>
                </c:pt>
                <c:pt idx="9">
                  <c:v>0.012547</c:v>
                </c:pt>
                <c:pt idx="10">
                  <c:v>0.008783</c:v>
                </c:pt>
                <c:pt idx="11">
                  <c:v>0.020075</c:v>
                </c:pt>
                <c:pt idx="12">
                  <c:v>0.011292</c:v>
                </c:pt>
                <c:pt idx="13">
                  <c:v>0.011292</c:v>
                </c:pt>
                <c:pt idx="14">
                  <c:v>0.008783</c:v>
                </c:pt>
                <c:pt idx="15">
                  <c:v>0.010038</c:v>
                </c:pt>
                <c:pt idx="16">
                  <c:v>0.008783</c:v>
                </c:pt>
                <c:pt idx="17">
                  <c:v>0.005019</c:v>
                </c:pt>
                <c:pt idx="18">
                  <c:v>0.002509</c:v>
                </c:pt>
                <c:pt idx="19">
                  <c:v>0.007528</c:v>
                </c:pt>
                <c:pt idx="20">
                  <c:v>0.005019</c:v>
                </c:pt>
                <c:pt idx="21">
                  <c:v>0.005019</c:v>
                </c:pt>
                <c:pt idx="22">
                  <c:v>0.000000</c:v>
                </c:pt>
                <c:pt idx="23">
                  <c:v>0.002509</c:v>
                </c:pt>
                <c:pt idx="24">
                  <c:v>0.000000</c:v>
                </c:pt>
                <c:pt idx="25">
                  <c:v>0.000000</c:v>
                </c:pt>
                <c:pt idx="26">
                  <c:v>0.000000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8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25"/>
        <c:minorUnit val="0.0625"/>
      </c:valAx>
      <c:spPr>
        <a:noFill/>
        <a:ln w="12700" cap="flat">
          <a:noFill/>
          <a:miter lim="400000"/>
        </a:ln>
        <a:effectLst/>
      </c:spPr>
    </c:plotArea>
    <c:legend>
      <c:legendPos val="b"/>
      <c:layout>
        <c:manualLayout>
          <c:xMode val="edge"/>
          <c:yMode val="edge"/>
          <c:x val="0.351041"/>
          <c:y val="0.944594"/>
          <c:w val="0.317744"/>
          <c:h val="0.0554064"/>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38397"/>
          <c:y val="0.0449305"/>
          <c:w val="0.922812"/>
          <c:h val="0.78958"/>
        </c:manualLayout>
      </c:layout>
      <c:areaChart>
        <c:grouping val="standard"/>
        <c:varyColors val="0"/>
        <c:ser>
          <c:idx val="0"/>
          <c:order val="0"/>
          <c:tx>
            <c:strRef>
              <c:f>Sheet1!$B$1</c:f>
              <c:strCache>
                <c:ptCount val="1"/>
                <c:pt idx="0">
                  <c:v>总计</c:v>
                </c:pt>
              </c:strCache>
            </c:strRef>
          </c:tx>
          <c:spPr>
            <a:solidFill>
              <a:srgbClr val="8FDC9C"/>
            </a:solidFill>
            <a:ln w="9525" cap="flat">
              <a:solidFill>
                <a:srgbClr val="8FDC9C"/>
              </a:solidFill>
              <a:prstDash val="solid"/>
              <a:round/>
            </a:ln>
            <a:effectLst>
              <a:outerShdw sx="100000" sy="100000" kx="0" ky="0" algn="tl" rotWithShape="1" blurRad="63500" dist="19050" dir="5400000">
                <a:srgbClr val="000000">
                  <a:alpha val="63000"/>
                </a:srgbClr>
              </a:outerShdw>
            </a:effectLst>
          </c:spPr>
          <c:dLbls>
            <c:numFmt formatCode="0.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Sheet1!$A$2:$A$7</c:f>
              <c:strCache>
                <c:ptCount val="6"/>
                <c:pt idx="0">
                  <c:v>高中</c:v>
                </c:pt>
                <c:pt idx="1">
                  <c:v>专科</c:v>
                </c:pt>
                <c:pt idx="2">
                  <c:v>学士</c:v>
                </c:pt>
                <c:pt idx="3">
                  <c:v>硕士</c:v>
                </c:pt>
                <c:pt idx="4">
                  <c:v>博士</c:v>
                </c:pt>
                <c:pt idx="5">
                  <c:v>其他</c:v>
                </c:pt>
              </c:strCache>
            </c:strRef>
          </c:cat>
          <c:val>
            <c:numRef>
              <c:f>Sheet1!$B$2:$B$7</c:f>
              <c:numCache>
                <c:ptCount val="6"/>
                <c:pt idx="0">
                  <c:v>0.002008</c:v>
                </c:pt>
                <c:pt idx="1">
                  <c:v>0.017403</c:v>
                </c:pt>
                <c:pt idx="2">
                  <c:v>0.377510</c:v>
                </c:pt>
                <c:pt idx="3">
                  <c:v>0.555556</c:v>
                </c:pt>
                <c:pt idx="4">
                  <c:v>0.024766</c:v>
                </c:pt>
                <c:pt idx="5">
                  <c:v>0.022800</c:v>
                </c:pt>
              </c:numCache>
            </c:numRef>
          </c:val>
        </c:ser>
        <c:axId val="2094734552"/>
        <c:axId val="2094734553"/>
      </c:areaChart>
      <c:barChart>
        <c:barDir val="col"/>
        <c:grouping val="clustered"/>
        <c:varyColors val="0"/>
        <c:ser>
          <c:idx val="1"/>
          <c:order val="1"/>
          <c:tx>
            <c:strRef>
              <c:f>Sheet1!$C$1</c:f>
              <c:strCache>
                <c:ptCount val="1"/>
                <c:pt idx="0">
                  <c:v>男</c:v>
                </c:pt>
              </c:strCache>
            </c:strRef>
          </c:tx>
          <c:spPr>
            <a:gradFill flip="none" rotWithShape="1">
              <a:gsLst>
                <a:gs pos="0">
                  <a:srgbClr val="70A6DB"/>
                </a:gs>
                <a:gs pos="50000">
                  <a:srgbClr val="559BDB"/>
                </a:gs>
                <a:gs pos="100000">
                  <a:srgbClr val="448AC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高中</c:v>
                </c:pt>
                <c:pt idx="1">
                  <c:v>专科</c:v>
                </c:pt>
                <c:pt idx="2">
                  <c:v>学士</c:v>
                </c:pt>
                <c:pt idx="3">
                  <c:v>硕士</c:v>
                </c:pt>
                <c:pt idx="4">
                  <c:v>博士</c:v>
                </c:pt>
                <c:pt idx="5">
                  <c:v>其他</c:v>
                </c:pt>
              </c:strCache>
            </c:strRef>
          </c:cat>
          <c:val>
            <c:numRef>
              <c:f>Sheet1!$C$2:$C$7</c:f>
              <c:numCache>
                <c:ptCount val="6"/>
                <c:pt idx="0">
                  <c:v>0.004304</c:v>
                </c:pt>
                <c:pt idx="1">
                  <c:v>0.015782</c:v>
                </c:pt>
                <c:pt idx="2">
                  <c:v>0.401722</c:v>
                </c:pt>
                <c:pt idx="3">
                  <c:v>0.515065</c:v>
                </c:pt>
                <c:pt idx="4">
                  <c:v>0.038737</c:v>
                </c:pt>
                <c:pt idx="5">
                  <c:v>0.024400</c:v>
                </c:pt>
              </c:numCache>
            </c:numRef>
          </c:val>
        </c:ser>
        <c:ser>
          <c:idx val="2"/>
          <c:order val="2"/>
          <c:tx>
            <c:strRef>
              <c:f>Sheet1!$D$1</c:f>
              <c:strCache>
                <c:ptCount val="1"/>
                <c:pt idx="0">
                  <c:v>女</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a:outerShdw sx="100000" sy="100000" kx="0" ky="0" algn="tl" rotWithShape="1" blurRad="63500" dist="19050" dir="5400000">
                <a:srgbClr val="000000">
                  <a:alpha val="63000"/>
                </a:srgbClr>
              </a:outerShdw>
            </a:effectLst>
          </c:spPr>
          <c:invertIfNegative val="0"/>
          <c:dLbls>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Sheet1!$A$2:$A$7</c:f>
              <c:strCache>
                <c:ptCount val="6"/>
                <c:pt idx="0">
                  <c:v>高中</c:v>
                </c:pt>
                <c:pt idx="1">
                  <c:v>专科</c:v>
                </c:pt>
                <c:pt idx="2">
                  <c:v>学士</c:v>
                </c:pt>
                <c:pt idx="3">
                  <c:v>硕士</c:v>
                </c:pt>
                <c:pt idx="4">
                  <c:v>博士</c:v>
                </c:pt>
                <c:pt idx="5">
                  <c:v>其他</c:v>
                </c:pt>
              </c:strCache>
            </c:strRef>
          </c:cat>
          <c:val>
            <c:numRef>
              <c:f>Sheet1!$D$2:$D$7</c:f>
              <c:numCache>
                <c:ptCount val="6"/>
                <c:pt idx="0">
                  <c:v>0.000000</c:v>
                </c:pt>
                <c:pt idx="1">
                  <c:v>0.018821</c:v>
                </c:pt>
                <c:pt idx="2">
                  <c:v>0.356336</c:v>
                </c:pt>
                <c:pt idx="3">
                  <c:v>0.590966</c:v>
                </c:pt>
                <c:pt idx="4">
                  <c:v>0.012547</c:v>
                </c:pt>
                <c:pt idx="5">
                  <c:v>0.021300</c:v>
                </c:pt>
              </c:numCache>
            </c:numRef>
          </c:val>
        </c:ser>
        <c:gapWidth val="219"/>
        <c:overlap val="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b="0" i="0" strike="noStrike" sz="900" u="none">
                <a:solidFill>
                  <a:srgbClr val="000000"/>
                </a:solidFill>
                <a:latin typeface="Calibri"/>
              </a:defRPr>
            </a:pPr>
          </a:p>
        </c:txPr>
        <c:crossAx val="2094734552"/>
        <c:crosses val="autoZero"/>
        <c:crossBetween val="between"/>
        <c:majorUnit val="0.15"/>
        <c:minorUnit val="0.075"/>
      </c:valAx>
      <c:spPr>
        <a:noFill/>
        <a:ln w="12700" cap="flat">
          <a:noFill/>
          <a:miter lim="400000"/>
        </a:ln>
        <a:effectLst/>
      </c:spPr>
    </c:plotArea>
    <c:legend>
      <c:legendPos val="b"/>
      <c:layout>
        <c:manualLayout>
          <c:xMode val="edge"/>
          <c:yMode val="edge"/>
          <c:x val="0.351041"/>
          <c:y val="0.92909"/>
          <c:w val="0.317744"/>
          <c:h val="0.0709096"/>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C0EBC7"/>
    </a:solid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